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40" w:rsidRDefault="006D7C40" w:rsidP="000A59D8">
      <w:pPr>
        <w:pStyle w:val="Title"/>
        <w:rPr>
          <w:sz w:val="36"/>
        </w:rPr>
      </w:pPr>
      <w:r w:rsidRPr="00865DA4">
        <w:rPr>
          <w:sz w:val="36"/>
        </w:rPr>
        <w:t xml:space="preserve">UBC Faculty Relations </w:t>
      </w:r>
      <w:r w:rsidR="001252B6">
        <w:rPr>
          <w:sz w:val="36"/>
        </w:rPr>
        <w:t>- Memorandum</w:t>
      </w:r>
    </w:p>
    <w:p w:rsidR="00AC6619" w:rsidRPr="00AC6619" w:rsidRDefault="00AC6619" w:rsidP="000A59D8">
      <w:pPr>
        <w:jc w:val="left"/>
      </w:pPr>
    </w:p>
    <w:p w:rsidR="001252B6" w:rsidRDefault="00DC590A" w:rsidP="000A59D8">
      <w:pPr>
        <w:pBdr>
          <w:bottom w:val="single" w:sz="4" w:space="1" w:color="auto"/>
        </w:pBdr>
        <w:spacing w:after="0" w:line="24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To: UBCV and UBCO</w:t>
      </w:r>
    </w:p>
    <w:p w:rsidR="001252B6" w:rsidRDefault="001252B6" w:rsidP="000A59D8">
      <w:pPr>
        <w:pBdr>
          <w:bottom w:val="single" w:sz="4" w:space="1" w:color="auto"/>
        </w:pBdr>
        <w:spacing w:after="0" w:line="24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From: </w:t>
      </w:r>
      <w:r w:rsidR="000A59D8">
        <w:rPr>
          <w:rFonts w:ascii="Times New Roman" w:hAnsi="Times New Roman"/>
          <w:b/>
          <w:bCs/>
        </w:rPr>
        <w:t>Daniel Mare</w:t>
      </w:r>
      <w:r w:rsidR="000A59D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</w:t>
      </w:r>
    </w:p>
    <w:p w:rsidR="001252B6" w:rsidRDefault="001252B6" w:rsidP="000A59D8">
      <w:pPr>
        <w:pBdr>
          <w:bottom w:val="single" w:sz="4" w:space="1" w:color="auto"/>
        </w:pBdr>
        <w:spacing w:after="0" w:line="24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Date: </w:t>
      </w:r>
      <w:r w:rsidR="000A59D8">
        <w:rPr>
          <w:rFonts w:ascii="Times New Roman" w:hAnsi="Times New Roman"/>
          <w:b/>
          <w:bCs/>
        </w:rPr>
        <w:t>October 23, 2019</w:t>
      </w:r>
    </w:p>
    <w:p w:rsidR="00882CB8" w:rsidRPr="001252B6" w:rsidRDefault="001252B6" w:rsidP="000A59D8">
      <w:pPr>
        <w:pBdr>
          <w:bottom w:val="single" w:sz="4" w:space="1" w:color="auto"/>
        </w:pBdr>
        <w:spacing w:after="0" w:line="24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Re: </w:t>
      </w:r>
      <w:r w:rsidR="00AC6619">
        <w:rPr>
          <w:rFonts w:ascii="Times New Roman" w:hAnsi="Times New Roman"/>
          <w:b/>
          <w:bCs/>
        </w:rPr>
        <w:t xml:space="preserve">Revisions to the </w:t>
      </w:r>
      <w:r w:rsidR="000A59D8">
        <w:rPr>
          <w:rFonts w:ascii="Times New Roman" w:hAnsi="Times New Roman"/>
          <w:b/>
          <w:bCs/>
        </w:rPr>
        <w:t>SAC</w:t>
      </w:r>
      <w:r w:rsidR="00AC6619">
        <w:rPr>
          <w:rFonts w:ascii="Times New Roman" w:hAnsi="Times New Roman"/>
          <w:b/>
          <w:bCs/>
        </w:rPr>
        <w:t xml:space="preserve"> Guide to Reappointment, Promotion and Tenure Process at UBC </w:t>
      </w:r>
    </w:p>
    <w:p w:rsidR="00143B86" w:rsidRDefault="00143B86" w:rsidP="000A59D8">
      <w:pPr>
        <w:jc w:val="left"/>
        <w:rPr>
          <w:i/>
        </w:rPr>
      </w:pPr>
    </w:p>
    <w:p w:rsidR="001252B6" w:rsidRDefault="001252B6" w:rsidP="000A59D8">
      <w:pPr>
        <w:spacing w:after="0" w:line="240" w:lineRule="auto"/>
        <w:jc w:val="left"/>
      </w:pPr>
      <w:r>
        <w:t>The following are</w:t>
      </w:r>
      <w:r w:rsidR="00301A59">
        <w:t xml:space="preserve"> </w:t>
      </w:r>
      <w:r>
        <w:t>revisions to the 201</w:t>
      </w:r>
      <w:r w:rsidR="000A59D8">
        <w:t>8/2019</w:t>
      </w:r>
      <w:r>
        <w:t xml:space="preserve"> SAC Guide: </w:t>
      </w:r>
    </w:p>
    <w:p w:rsidR="00C64B9E" w:rsidRDefault="00C64B9E" w:rsidP="000A59D8">
      <w:pPr>
        <w:spacing w:after="0" w:line="240" w:lineRule="auto"/>
        <w:jc w:val="left"/>
      </w:pPr>
    </w:p>
    <w:p w:rsidR="009E0B96" w:rsidRPr="009E0B96" w:rsidRDefault="009E0B96" w:rsidP="00324A3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GENERAL COMMENT</w:t>
      </w:r>
    </w:p>
    <w:p w:rsidR="000A59D8" w:rsidRPr="00301A59" w:rsidRDefault="000A59D8" w:rsidP="00324A37">
      <w:pPr>
        <w:pStyle w:val="ListParagraph"/>
        <w:numPr>
          <w:ilvl w:val="1"/>
          <w:numId w:val="3"/>
        </w:numPr>
        <w:jc w:val="left"/>
      </w:pPr>
      <w:r>
        <w:t xml:space="preserve">This update </w:t>
      </w:r>
      <w:r w:rsidR="00F0519B">
        <w:t xml:space="preserve">focuses on </w:t>
      </w:r>
      <w:r>
        <w:t>clarification and simplification.  Although some inconsistencies were eliminated</w:t>
      </w:r>
      <w:r w:rsidR="00F31A6C">
        <w:t xml:space="preserve"> and interpretations added</w:t>
      </w:r>
      <w:r>
        <w:t xml:space="preserve">, </w:t>
      </w:r>
      <w:r w:rsidR="00605D04">
        <w:t>there were no major</w:t>
      </w:r>
      <w:r>
        <w:t xml:space="preserve"> s</w:t>
      </w:r>
      <w:r w:rsidR="00605D04">
        <w:t>ubstantive changes</w:t>
      </w:r>
      <w:r>
        <w:t>.</w:t>
      </w:r>
      <w:r w:rsidR="00F31A6C">
        <w:t xml:space="preserve">  </w:t>
      </w:r>
      <w:r w:rsidR="00B2180E">
        <w:t xml:space="preserve">Please direct any questions to </w:t>
      </w:r>
      <w:hyperlink r:id="rId8" w:history="1">
        <w:r w:rsidR="00B2180E" w:rsidRPr="00301A59">
          <w:rPr>
            <w:rStyle w:val="Hyperlink"/>
            <w:color w:val="auto"/>
          </w:rPr>
          <w:t>dmare@mail.ubc.ca</w:t>
        </w:r>
      </w:hyperlink>
    </w:p>
    <w:p w:rsidR="003770ED" w:rsidRDefault="003770ED" w:rsidP="000A59D8">
      <w:pPr>
        <w:pStyle w:val="ListParagraph"/>
        <w:spacing w:after="0" w:line="240" w:lineRule="auto"/>
        <w:ind w:left="1440"/>
        <w:jc w:val="left"/>
        <w:rPr>
          <w:b/>
        </w:rPr>
      </w:pPr>
    </w:p>
    <w:p w:rsidR="00C64B9E" w:rsidRDefault="00292037" w:rsidP="00324A3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Section 2</w:t>
      </w:r>
      <w:r w:rsidR="00725E39">
        <w:rPr>
          <w:b/>
        </w:rPr>
        <w:t xml:space="preserve"> </w:t>
      </w:r>
    </w:p>
    <w:p w:rsidR="00725E39" w:rsidRPr="00DA4398" w:rsidRDefault="00725E39" w:rsidP="00324A37">
      <w:pPr>
        <w:pStyle w:val="ListParagraph"/>
        <w:numPr>
          <w:ilvl w:val="1"/>
          <w:numId w:val="4"/>
        </w:numPr>
        <w:spacing w:after="0" w:line="240" w:lineRule="auto"/>
        <w:jc w:val="left"/>
        <w:rPr>
          <w:b/>
        </w:rPr>
      </w:pPr>
      <w:r>
        <w:rPr>
          <w:b/>
        </w:rPr>
        <w:t xml:space="preserve">Page </w:t>
      </w:r>
      <w:r w:rsidR="00292037">
        <w:rPr>
          <w:b/>
        </w:rPr>
        <w:t>7</w:t>
      </w:r>
      <w:r w:rsidR="003770ED">
        <w:rPr>
          <w:b/>
        </w:rPr>
        <w:t>:</w:t>
      </w:r>
      <w:r w:rsidR="009E0B96">
        <w:rPr>
          <w:b/>
        </w:rPr>
        <w:t xml:space="preserve"> </w:t>
      </w:r>
      <w:r>
        <w:rPr>
          <w:b/>
        </w:rPr>
        <w:t xml:space="preserve">Section </w:t>
      </w:r>
      <w:r w:rsidR="00DA4398">
        <w:rPr>
          <w:b/>
        </w:rPr>
        <w:t>2.4.1</w:t>
      </w:r>
      <w:r w:rsidR="001A7258">
        <w:rPr>
          <w:b/>
        </w:rPr>
        <w:t xml:space="preserve"> (and former Section 2.4.5)</w:t>
      </w:r>
      <w:r>
        <w:rPr>
          <w:b/>
        </w:rPr>
        <w:t xml:space="preserve"> – </w:t>
      </w:r>
      <w:r w:rsidR="00DA4398" w:rsidRPr="00DA4398">
        <w:t xml:space="preserve">Clarified to address </w:t>
      </w:r>
      <w:r w:rsidR="00DA4398">
        <w:t xml:space="preserve">the </w:t>
      </w:r>
      <w:r w:rsidR="00DA4398" w:rsidRPr="00DA4398">
        <w:t>confusion around mandatory reviews for different ranks</w:t>
      </w:r>
      <w:r w:rsidR="001A7258">
        <w:t>.  The charts and examples were eliminated, and both sections consolidated</w:t>
      </w:r>
      <w:bookmarkStart w:id="0" w:name="_GoBack"/>
      <w:bookmarkEnd w:id="0"/>
      <w:r w:rsidR="001A7258">
        <w:t xml:space="preserve"> to highlight only the relevant information, in particular that which pertains to Assistant Professors and Instructors.</w:t>
      </w:r>
    </w:p>
    <w:p w:rsidR="00DA4398" w:rsidRPr="00DA4398" w:rsidRDefault="00DA4398" w:rsidP="00324A37">
      <w:pPr>
        <w:pStyle w:val="ListParagraph"/>
        <w:numPr>
          <w:ilvl w:val="1"/>
          <w:numId w:val="4"/>
        </w:numPr>
        <w:spacing w:after="0" w:line="240" w:lineRule="auto"/>
        <w:jc w:val="left"/>
        <w:rPr>
          <w:b/>
        </w:rPr>
      </w:pPr>
      <w:r>
        <w:rPr>
          <w:b/>
        </w:rPr>
        <w:t xml:space="preserve">Page </w:t>
      </w:r>
      <w:r w:rsidR="000A2BE3">
        <w:rPr>
          <w:b/>
        </w:rPr>
        <w:t>8</w:t>
      </w:r>
      <w:r>
        <w:rPr>
          <w:b/>
        </w:rPr>
        <w:t xml:space="preserve">: Section 2.4.2 – </w:t>
      </w:r>
      <w:r>
        <w:t>The former contents of Section</w:t>
      </w:r>
      <w:r w:rsidRPr="00DA4398">
        <w:t xml:space="preserve"> 2.4.4</w:t>
      </w:r>
      <w:r>
        <w:t xml:space="preserve">  were relocated here in order</w:t>
      </w:r>
      <w:r w:rsidRPr="00DA4398">
        <w:t xml:space="preserve"> to</w:t>
      </w:r>
      <w:r>
        <w:t xml:space="preserve"> logically</w:t>
      </w:r>
      <w:r w:rsidRPr="00DA4398">
        <w:t xml:space="preserve"> complete the range of ranks </w:t>
      </w:r>
      <w:r>
        <w:t>canvassed</w:t>
      </w:r>
      <w:r w:rsidRPr="00DA4398">
        <w:t xml:space="preserve"> in </w:t>
      </w:r>
      <w:r>
        <w:t xml:space="preserve">the preceding Section </w:t>
      </w:r>
      <w:r w:rsidRPr="00DA4398">
        <w:t>2.4.1</w:t>
      </w:r>
      <w:r>
        <w:t>.</w:t>
      </w:r>
    </w:p>
    <w:p w:rsidR="00DE7B25" w:rsidRPr="00EE52CE" w:rsidRDefault="00DE7B25" w:rsidP="00324A37">
      <w:pPr>
        <w:pStyle w:val="ListParagraph"/>
        <w:numPr>
          <w:ilvl w:val="1"/>
          <w:numId w:val="5"/>
        </w:numPr>
        <w:spacing w:after="0" w:line="240" w:lineRule="auto"/>
        <w:jc w:val="left"/>
      </w:pPr>
      <w:r>
        <w:rPr>
          <w:b/>
        </w:rPr>
        <w:t>Page 8: Sections 2.4.3</w:t>
      </w:r>
      <w:r w:rsidR="002F3AEB">
        <w:rPr>
          <w:b/>
        </w:rPr>
        <w:t xml:space="preserve"> </w:t>
      </w:r>
      <w:r>
        <w:rPr>
          <w:b/>
        </w:rPr>
        <w:t xml:space="preserve">– </w:t>
      </w:r>
      <w:r w:rsidR="002F3AEB">
        <w:t>Offset numbering</w:t>
      </w:r>
      <w:r w:rsidRPr="00EE52CE">
        <w:t xml:space="preserve"> due to preceding change</w:t>
      </w:r>
      <w:r w:rsidR="001A7258">
        <w:t>s.</w:t>
      </w:r>
    </w:p>
    <w:p w:rsidR="00725E39" w:rsidRPr="00DE7B25" w:rsidRDefault="000A2BE3" w:rsidP="00324A37">
      <w:pPr>
        <w:pStyle w:val="ListParagraph"/>
        <w:numPr>
          <w:ilvl w:val="1"/>
          <w:numId w:val="5"/>
        </w:numPr>
        <w:spacing w:after="0" w:line="240" w:lineRule="auto"/>
        <w:jc w:val="left"/>
        <w:rPr>
          <w:b/>
        </w:rPr>
      </w:pPr>
      <w:r>
        <w:rPr>
          <w:b/>
        </w:rPr>
        <w:t>Page 8</w:t>
      </w:r>
      <w:r w:rsidR="003770ED">
        <w:rPr>
          <w:b/>
        </w:rPr>
        <w:t>:</w:t>
      </w:r>
      <w:r w:rsidR="009E0B96">
        <w:rPr>
          <w:b/>
        </w:rPr>
        <w:t xml:space="preserve"> </w:t>
      </w:r>
      <w:r w:rsidR="00725E39">
        <w:rPr>
          <w:b/>
        </w:rPr>
        <w:t xml:space="preserve">Section </w:t>
      </w:r>
      <w:r w:rsidR="00DA4398">
        <w:rPr>
          <w:b/>
        </w:rPr>
        <w:t>2.4.4</w:t>
      </w:r>
      <w:r w:rsidR="00725E39">
        <w:rPr>
          <w:b/>
        </w:rPr>
        <w:t xml:space="preserve"> </w:t>
      </w:r>
      <w:r w:rsidR="00725E39">
        <w:t xml:space="preserve">– </w:t>
      </w:r>
      <w:r w:rsidR="00DA4398" w:rsidRPr="00DA4398">
        <w:t>Removed</w:t>
      </w:r>
      <w:r w:rsidR="00DA4398">
        <w:t xml:space="preserve"> the</w:t>
      </w:r>
      <w:r w:rsidR="00DA4398" w:rsidRPr="00DA4398">
        <w:t xml:space="preserve"> language</w:t>
      </w:r>
      <w:r w:rsidR="00DA4398">
        <w:t xml:space="preserve"> on</w:t>
      </w:r>
      <w:r w:rsidR="00DA4398" w:rsidRPr="00DA4398">
        <w:t xml:space="preserve"> optional reviews,</w:t>
      </w:r>
      <w:r w:rsidR="00DA4398">
        <w:t xml:space="preserve"> for the purpose of eliminating unnecessary repetition.</w:t>
      </w:r>
      <w:r w:rsidR="001A7258">
        <w:t xml:space="preserve"> </w:t>
      </w:r>
      <w:r w:rsidR="002F3AEB">
        <w:t>Offset numbering</w:t>
      </w:r>
      <w:r w:rsidR="001A7258">
        <w:t xml:space="preserve"> due to preceding changes.</w:t>
      </w:r>
    </w:p>
    <w:p w:rsidR="00373AF5" w:rsidRPr="00373AF5" w:rsidRDefault="009E0B96" w:rsidP="00324A37">
      <w:pPr>
        <w:pStyle w:val="ListParagraph"/>
        <w:numPr>
          <w:ilvl w:val="1"/>
          <w:numId w:val="5"/>
        </w:numPr>
        <w:spacing w:after="0" w:line="240" w:lineRule="auto"/>
        <w:jc w:val="left"/>
        <w:rPr>
          <w:b/>
        </w:rPr>
      </w:pPr>
      <w:r>
        <w:rPr>
          <w:b/>
        </w:rPr>
        <w:t>Page 8</w:t>
      </w:r>
      <w:r w:rsidR="003770ED">
        <w:rPr>
          <w:b/>
        </w:rPr>
        <w:t>:</w:t>
      </w:r>
      <w:r>
        <w:rPr>
          <w:b/>
        </w:rPr>
        <w:t xml:space="preserve"> </w:t>
      </w:r>
      <w:r w:rsidR="00DA4398">
        <w:rPr>
          <w:b/>
        </w:rPr>
        <w:t>Section 2.5</w:t>
      </w:r>
      <w:r w:rsidR="00725E39">
        <w:rPr>
          <w:b/>
        </w:rPr>
        <w:t xml:space="preserve"> – </w:t>
      </w:r>
      <w:r w:rsidR="00DA4398">
        <w:t>Edited title</w:t>
      </w:r>
      <w:r w:rsidR="00DA4398" w:rsidRPr="00DA4398">
        <w:t xml:space="preserve"> to </w:t>
      </w:r>
      <w:r w:rsidR="00DA4398">
        <w:t xml:space="preserve">“Reviews for Promotion”, in order to both </w:t>
      </w:r>
      <w:r w:rsidR="00DA4398" w:rsidRPr="00DA4398">
        <w:t xml:space="preserve">parallel and </w:t>
      </w:r>
      <w:r w:rsidR="00DA4398">
        <w:t xml:space="preserve">better </w:t>
      </w:r>
      <w:r w:rsidR="00DA4398" w:rsidRPr="00DA4398">
        <w:t>distinguish from</w:t>
      </w:r>
      <w:r w:rsidR="00DA4398">
        <w:t xml:space="preserve"> the</w:t>
      </w:r>
      <w:r w:rsidR="00DA4398" w:rsidRPr="00DA4398">
        <w:t xml:space="preserve"> preceding section on tenure.</w:t>
      </w:r>
      <w:r w:rsidR="00373AF5">
        <w:t xml:space="preserve">  </w:t>
      </w:r>
    </w:p>
    <w:p w:rsidR="00725E39" w:rsidRPr="00725E39" w:rsidRDefault="00373AF5" w:rsidP="00324A37">
      <w:pPr>
        <w:pStyle w:val="ListParagraph"/>
        <w:numPr>
          <w:ilvl w:val="1"/>
          <w:numId w:val="5"/>
        </w:numPr>
        <w:spacing w:after="0" w:line="240" w:lineRule="auto"/>
        <w:jc w:val="left"/>
        <w:rPr>
          <w:b/>
        </w:rPr>
      </w:pPr>
      <w:r>
        <w:rPr>
          <w:b/>
        </w:rPr>
        <w:t xml:space="preserve">Page </w:t>
      </w:r>
      <w:r w:rsidR="000A2BE3">
        <w:rPr>
          <w:b/>
        </w:rPr>
        <w:t>9</w:t>
      </w:r>
      <w:r>
        <w:rPr>
          <w:b/>
        </w:rPr>
        <w:t>: Section 2.5</w:t>
      </w:r>
      <w:r w:rsidR="00CC6889">
        <w:rPr>
          <w:b/>
        </w:rPr>
        <w:t>.2</w:t>
      </w:r>
      <w:r>
        <w:rPr>
          <w:b/>
        </w:rPr>
        <w:t xml:space="preserve"> – </w:t>
      </w:r>
      <w:r>
        <w:t xml:space="preserve">Clarified ambiguities </w:t>
      </w:r>
      <w:r w:rsidR="00CC6889">
        <w:t>about optional versus mandatory reviews.</w:t>
      </w:r>
      <w:r>
        <w:t xml:space="preserve"> </w:t>
      </w:r>
    </w:p>
    <w:p w:rsidR="003770ED" w:rsidRPr="009E0B96" w:rsidRDefault="003770ED" w:rsidP="000A59D8">
      <w:pPr>
        <w:pStyle w:val="ListParagraph"/>
        <w:spacing w:after="0" w:line="240" w:lineRule="auto"/>
        <w:ind w:left="1440"/>
        <w:jc w:val="left"/>
        <w:rPr>
          <w:b/>
        </w:rPr>
      </w:pPr>
    </w:p>
    <w:p w:rsidR="00C64B9E" w:rsidRDefault="00C64B9E" w:rsidP="00324A3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Sect</w:t>
      </w:r>
      <w:r w:rsidR="00CC6889">
        <w:rPr>
          <w:b/>
        </w:rPr>
        <w:t>ion 5</w:t>
      </w:r>
      <w:r>
        <w:rPr>
          <w:b/>
        </w:rPr>
        <w:t xml:space="preserve"> </w:t>
      </w:r>
    </w:p>
    <w:p w:rsidR="009E0B96" w:rsidRPr="009E0B96" w:rsidRDefault="003770ED" w:rsidP="00324A37">
      <w:pPr>
        <w:pStyle w:val="ListParagraph"/>
        <w:numPr>
          <w:ilvl w:val="1"/>
          <w:numId w:val="6"/>
        </w:numPr>
        <w:spacing w:after="0" w:line="240" w:lineRule="auto"/>
        <w:jc w:val="left"/>
        <w:rPr>
          <w:b/>
        </w:rPr>
      </w:pPr>
      <w:r>
        <w:rPr>
          <w:b/>
        </w:rPr>
        <w:t xml:space="preserve">Page </w:t>
      </w:r>
      <w:r w:rsidR="000A2BE3">
        <w:rPr>
          <w:b/>
        </w:rPr>
        <w:t>19</w:t>
      </w:r>
      <w:r>
        <w:rPr>
          <w:b/>
        </w:rPr>
        <w:t>:</w:t>
      </w:r>
      <w:r w:rsidR="009E0B96">
        <w:rPr>
          <w:b/>
        </w:rPr>
        <w:t xml:space="preserve"> Section</w:t>
      </w:r>
      <w:r w:rsidR="00CC6889">
        <w:rPr>
          <w:b/>
        </w:rPr>
        <w:t xml:space="preserve"> 5.5(a): 5.5.1</w:t>
      </w:r>
      <w:r w:rsidR="009E0B96">
        <w:rPr>
          <w:b/>
        </w:rPr>
        <w:t xml:space="preserve"> </w:t>
      </w:r>
      <w:r w:rsidR="009E0B96">
        <w:t xml:space="preserve">– </w:t>
      </w:r>
      <w:r w:rsidR="00CC6889">
        <w:t xml:space="preserve">Added “Letters of Reference” to the start of the section on Referees.  </w:t>
      </w:r>
      <w:r w:rsidR="00CC6889" w:rsidRPr="00CC6889">
        <w:t xml:space="preserve">This was </w:t>
      </w:r>
      <w:r w:rsidR="00CC6889">
        <w:t>relocated f</w:t>
      </w:r>
      <w:r w:rsidR="00CC6889" w:rsidRPr="00CC6889">
        <w:t xml:space="preserve">rom </w:t>
      </w:r>
      <w:r w:rsidR="00CC6889">
        <w:t>Section</w:t>
      </w:r>
      <w:r w:rsidR="00CC6889" w:rsidRPr="00CC6889">
        <w:t xml:space="preserve"> 5.5.10, in order to </w:t>
      </w:r>
      <w:r w:rsidR="00CC6889">
        <w:t>clarify</w:t>
      </w:r>
      <w:r w:rsidR="00CC6889" w:rsidRPr="00CC6889">
        <w:t xml:space="preserve"> when letters are required</w:t>
      </w:r>
      <w:r w:rsidR="00CC6889">
        <w:t>,</w:t>
      </w:r>
      <w:r w:rsidR="00CC6889" w:rsidRPr="00CC6889">
        <w:t xml:space="preserve"> </w:t>
      </w:r>
      <w:r w:rsidR="00CC6889">
        <w:t>prior to addressing reference procedures</w:t>
      </w:r>
      <w:r w:rsidR="00CC6889" w:rsidRPr="00CC6889">
        <w:t xml:space="preserve">.  This has changed numbering scheme for the remainder of the section.   </w:t>
      </w:r>
    </w:p>
    <w:p w:rsidR="00CC6889" w:rsidRPr="009E0B96" w:rsidRDefault="00CC6889" w:rsidP="00324A37">
      <w:pPr>
        <w:pStyle w:val="ListParagraph"/>
        <w:numPr>
          <w:ilvl w:val="1"/>
          <w:numId w:val="6"/>
        </w:numPr>
        <w:spacing w:after="0" w:line="240" w:lineRule="auto"/>
        <w:jc w:val="left"/>
        <w:rPr>
          <w:b/>
        </w:rPr>
      </w:pPr>
      <w:r>
        <w:rPr>
          <w:b/>
        </w:rPr>
        <w:t>Page</w:t>
      </w:r>
      <w:r w:rsidR="00E11185">
        <w:rPr>
          <w:b/>
        </w:rPr>
        <w:t>s</w:t>
      </w:r>
      <w:r>
        <w:rPr>
          <w:b/>
        </w:rPr>
        <w:t xml:space="preserve"> </w:t>
      </w:r>
      <w:r w:rsidR="000A2BE3">
        <w:rPr>
          <w:b/>
        </w:rPr>
        <w:t>19-24</w:t>
      </w:r>
      <w:r>
        <w:rPr>
          <w:b/>
        </w:rPr>
        <w:t>: Sections 5.5.1</w:t>
      </w:r>
      <w:r w:rsidR="006009C1">
        <w:rPr>
          <w:b/>
        </w:rPr>
        <w:t xml:space="preserve"> to 5.5.20</w:t>
      </w:r>
      <w:r>
        <w:rPr>
          <w:b/>
        </w:rPr>
        <w:t xml:space="preserve"> </w:t>
      </w:r>
      <w:r w:rsidR="00515651">
        <w:t xml:space="preserve">– Shifted the numbering of these sections to accommodate the newly relocated </w:t>
      </w:r>
      <w:r w:rsidR="006009C1">
        <w:t>Section 5.5.1</w:t>
      </w:r>
      <w:r w:rsidR="00515651">
        <w:t>.</w:t>
      </w:r>
    </w:p>
    <w:p w:rsidR="003770ED" w:rsidRPr="003770ED" w:rsidRDefault="003770ED" w:rsidP="000A59D8">
      <w:pPr>
        <w:spacing w:after="0" w:line="240" w:lineRule="auto"/>
        <w:ind w:left="1080"/>
        <w:jc w:val="left"/>
        <w:rPr>
          <w:b/>
        </w:rPr>
      </w:pPr>
    </w:p>
    <w:p w:rsidR="00C64B9E" w:rsidRDefault="006009C1" w:rsidP="00324A3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Section 6</w:t>
      </w:r>
      <w:r w:rsidR="00C64B9E">
        <w:rPr>
          <w:b/>
        </w:rPr>
        <w:t xml:space="preserve"> </w:t>
      </w:r>
    </w:p>
    <w:p w:rsidR="006009C1" w:rsidRPr="006009C1" w:rsidRDefault="000A2BE3" w:rsidP="00324A37">
      <w:pPr>
        <w:pStyle w:val="ListParagraph"/>
        <w:numPr>
          <w:ilvl w:val="1"/>
          <w:numId w:val="7"/>
        </w:numPr>
        <w:spacing w:after="0" w:line="240" w:lineRule="auto"/>
        <w:jc w:val="left"/>
        <w:rPr>
          <w:b/>
        </w:rPr>
      </w:pPr>
      <w:r>
        <w:rPr>
          <w:b/>
        </w:rPr>
        <w:t>Pages 26</w:t>
      </w:r>
      <w:r w:rsidR="00515651">
        <w:rPr>
          <w:b/>
        </w:rPr>
        <w:t xml:space="preserve"> - 27</w:t>
      </w:r>
      <w:r w:rsidR="003770ED" w:rsidRPr="006009C1">
        <w:rPr>
          <w:b/>
        </w:rPr>
        <w:t>:</w:t>
      </w:r>
      <w:r w:rsidR="009E0B96" w:rsidRPr="006009C1">
        <w:rPr>
          <w:b/>
        </w:rPr>
        <w:t xml:space="preserve"> Section </w:t>
      </w:r>
      <w:r w:rsidR="006009C1" w:rsidRPr="006009C1">
        <w:rPr>
          <w:b/>
        </w:rPr>
        <w:t>6.2.3</w:t>
      </w:r>
      <w:r w:rsidR="009E0B96" w:rsidRPr="006009C1">
        <w:rPr>
          <w:b/>
        </w:rPr>
        <w:t xml:space="preserve"> </w:t>
      </w:r>
      <w:r w:rsidR="009E0B96">
        <w:t>–</w:t>
      </w:r>
      <w:r w:rsidR="006009C1">
        <w:t xml:space="preserve"> </w:t>
      </w:r>
      <w:r w:rsidR="00515651">
        <w:t>Edited and added new language to clarify</w:t>
      </w:r>
      <w:r w:rsidR="006009C1" w:rsidRPr="006009C1">
        <w:t xml:space="preserve"> the relationship between rank and voting, and when multiple votes are required. </w:t>
      </w:r>
      <w:r w:rsidR="006009C1">
        <w:t xml:space="preserve"> The tables edited to ensure consistency with the tables in the Collective Agreement: Part 4, </w:t>
      </w:r>
      <w:r w:rsidR="006009C1" w:rsidRPr="006009C1">
        <w:rPr>
          <w:i/>
        </w:rPr>
        <w:t>Letter of Understanding #1</w:t>
      </w:r>
      <w:r w:rsidR="006009C1">
        <w:t>.</w:t>
      </w:r>
      <w:r w:rsidR="001A7258">
        <w:t xml:space="preserve">  Removed examples.</w:t>
      </w:r>
    </w:p>
    <w:p w:rsidR="003770ED" w:rsidRPr="006009C1" w:rsidRDefault="000A2BE3" w:rsidP="00324A37">
      <w:pPr>
        <w:pStyle w:val="ListParagraph"/>
        <w:numPr>
          <w:ilvl w:val="1"/>
          <w:numId w:val="7"/>
        </w:numPr>
        <w:spacing w:after="0" w:line="240" w:lineRule="auto"/>
        <w:jc w:val="left"/>
        <w:rPr>
          <w:b/>
        </w:rPr>
      </w:pPr>
      <w:r>
        <w:rPr>
          <w:b/>
        </w:rPr>
        <w:lastRenderedPageBreak/>
        <w:t>Page 27</w:t>
      </w:r>
      <w:r w:rsidR="00515651">
        <w:rPr>
          <w:b/>
        </w:rPr>
        <w:t>: Section 6.2.4</w:t>
      </w:r>
      <w:r w:rsidR="003770ED">
        <w:t xml:space="preserve"> – </w:t>
      </w:r>
      <w:r w:rsidR="00515651">
        <w:t xml:space="preserve">Added reference to </w:t>
      </w:r>
      <w:r w:rsidR="00D53546">
        <w:t xml:space="preserve">the relevant </w:t>
      </w:r>
      <w:r w:rsidR="00515651">
        <w:t xml:space="preserve">UBC Policy on </w:t>
      </w:r>
      <w:r w:rsidR="00515651">
        <w:rPr>
          <w:i/>
        </w:rPr>
        <w:t xml:space="preserve">Conflict of Interest and Conflict of Commitment. </w:t>
      </w:r>
      <w:r w:rsidR="00515651">
        <w:t xml:space="preserve">Added </w:t>
      </w:r>
      <w:r w:rsidR="00D53546">
        <w:t>language</w:t>
      </w:r>
      <w:r w:rsidR="00515651">
        <w:t xml:space="preserve"> on the Heads’ </w:t>
      </w:r>
      <w:r w:rsidR="00D53546">
        <w:t>voting eligibility</w:t>
      </w:r>
      <w:r w:rsidR="00515651">
        <w:t xml:space="preserve"> when conflict has been established. </w:t>
      </w:r>
      <w:r w:rsidR="003770ED">
        <w:t xml:space="preserve"> </w:t>
      </w:r>
    </w:p>
    <w:p w:rsidR="003770ED" w:rsidRPr="003770ED" w:rsidRDefault="00515651" w:rsidP="00324A37">
      <w:pPr>
        <w:pStyle w:val="ListParagraph"/>
        <w:numPr>
          <w:ilvl w:val="1"/>
          <w:numId w:val="7"/>
        </w:numPr>
        <w:spacing w:after="0" w:line="240" w:lineRule="auto"/>
        <w:jc w:val="left"/>
        <w:rPr>
          <w:b/>
        </w:rPr>
      </w:pPr>
      <w:r>
        <w:rPr>
          <w:b/>
        </w:rPr>
        <w:t>Page 28</w:t>
      </w:r>
      <w:r w:rsidR="003770ED">
        <w:rPr>
          <w:b/>
        </w:rPr>
        <w:t xml:space="preserve">: Section </w:t>
      </w:r>
      <w:r>
        <w:rPr>
          <w:b/>
        </w:rPr>
        <w:t>6.2.7</w:t>
      </w:r>
      <w:r w:rsidR="003770ED">
        <w:rPr>
          <w:b/>
        </w:rPr>
        <w:t xml:space="preserve"> – </w:t>
      </w:r>
      <w:r w:rsidR="00F80BB8">
        <w:t>Added more specific language to</w:t>
      </w:r>
      <w:r w:rsidR="004D14D7">
        <w:t xml:space="preserve"> interpret “substantive discussion” </w:t>
      </w:r>
      <w:r w:rsidR="00F80BB8">
        <w:t>means participating in “all formal meetings convened for that purpose</w:t>
      </w:r>
      <w:r w:rsidR="004D14D7">
        <w:t>.</w:t>
      </w:r>
      <w:r w:rsidR="00F80BB8">
        <w:t>”</w:t>
      </w:r>
    </w:p>
    <w:p w:rsidR="003770ED" w:rsidRPr="003770ED" w:rsidRDefault="00F80BB8" w:rsidP="00324A37">
      <w:pPr>
        <w:pStyle w:val="ListParagraph"/>
        <w:numPr>
          <w:ilvl w:val="1"/>
          <w:numId w:val="7"/>
        </w:numPr>
        <w:spacing w:after="0" w:line="240" w:lineRule="auto"/>
        <w:jc w:val="left"/>
        <w:rPr>
          <w:b/>
        </w:rPr>
      </w:pPr>
      <w:r>
        <w:rPr>
          <w:b/>
        </w:rPr>
        <w:t>Page</w:t>
      </w:r>
      <w:r w:rsidR="00E11185">
        <w:rPr>
          <w:b/>
        </w:rPr>
        <w:t>s</w:t>
      </w:r>
      <w:r>
        <w:rPr>
          <w:b/>
        </w:rPr>
        <w:t xml:space="preserve"> 29</w:t>
      </w:r>
      <w:r w:rsidR="000A2BE3">
        <w:rPr>
          <w:b/>
        </w:rPr>
        <w:t>, 31</w:t>
      </w:r>
      <w:r w:rsidR="003770ED">
        <w:rPr>
          <w:b/>
        </w:rPr>
        <w:t>: Section</w:t>
      </w:r>
      <w:r>
        <w:rPr>
          <w:b/>
        </w:rPr>
        <w:t>s</w:t>
      </w:r>
      <w:r w:rsidR="003770ED">
        <w:rPr>
          <w:b/>
        </w:rPr>
        <w:t xml:space="preserve"> </w:t>
      </w:r>
      <w:r>
        <w:rPr>
          <w:b/>
        </w:rPr>
        <w:t>6.3.1, 6.3.3</w:t>
      </w:r>
      <w:r w:rsidR="003770ED">
        <w:rPr>
          <w:b/>
        </w:rPr>
        <w:t xml:space="preserve"> –</w:t>
      </w:r>
      <w:r w:rsidR="00D53546">
        <w:rPr>
          <w:b/>
        </w:rPr>
        <w:t xml:space="preserve"> </w:t>
      </w:r>
      <w:r w:rsidR="00D53546" w:rsidRPr="00D53546">
        <w:t>R</w:t>
      </w:r>
      <w:r w:rsidR="00D53546">
        <w:t xml:space="preserve">elocated </w:t>
      </w:r>
      <w:r>
        <w:t xml:space="preserve">the first paragraph of Section 6.3.1 to </w:t>
      </w:r>
      <w:r w:rsidR="00D53546">
        <w:t>the</w:t>
      </w:r>
      <w:r>
        <w:t xml:space="preserve"> new Section 6.3.3, in order to reflect the </w:t>
      </w:r>
      <w:r w:rsidR="00D53546">
        <w:t>appropriate chronology of events</w:t>
      </w:r>
      <w:r w:rsidR="004D14D7">
        <w:t xml:space="preserve"> for recommendations</w:t>
      </w:r>
      <w:r w:rsidR="00D53546">
        <w:t>.</w:t>
      </w:r>
      <w:r w:rsidR="003770ED">
        <w:rPr>
          <w:b/>
        </w:rPr>
        <w:t xml:space="preserve"> </w:t>
      </w:r>
      <w:r w:rsidR="00D53546">
        <w:rPr>
          <w:b/>
        </w:rPr>
        <w:t xml:space="preserve"> </w:t>
      </w:r>
      <w:r w:rsidR="00D53546">
        <w:t>Simplified this paragraph to remove redundancy and confusion about mandatory reviews.</w:t>
      </w:r>
    </w:p>
    <w:p w:rsidR="003770ED" w:rsidRPr="003770ED" w:rsidRDefault="003770ED" w:rsidP="000A59D8">
      <w:pPr>
        <w:pStyle w:val="ListParagraph"/>
        <w:spacing w:after="0" w:line="240" w:lineRule="auto"/>
        <w:ind w:left="1440"/>
        <w:jc w:val="left"/>
        <w:rPr>
          <w:b/>
        </w:rPr>
      </w:pPr>
    </w:p>
    <w:p w:rsidR="00C64B9E" w:rsidRDefault="00C64B9E" w:rsidP="00324A3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 xml:space="preserve">Section </w:t>
      </w:r>
      <w:r w:rsidR="00E11185">
        <w:rPr>
          <w:b/>
        </w:rPr>
        <w:t>7</w:t>
      </w:r>
      <w:r>
        <w:rPr>
          <w:b/>
        </w:rPr>
        <w:t xml:space="preserve"> </w:t>
      </w:r>
    </w:p>
    <w:p w:rsidR="003770ED" w:rsidRPr="003770ED" w:rsidRDefault="003770ED" w:rsidP="00324A37">
      <w:pPr>
        <w:pStyle w:val="ListParagraph"/>
        <w:numPr>
          <w:ilvl w:val="1"/>
          <w:numId w:val="8"/>
        </w:numPr>
        <w:spacing w:after="0" w:line="240" w:lineRule="auto"/>
        <w:jc w:val="left"/>
        <w:rPr>
          <w:b/>
        </w:rPr>
      </w:pPr>
      <w:r>
        <w:rPr>
          <w:b/>
        </w:rPr>
        <w:t>Page</w:t>
      </w:r>
      <w:r w:rsidR="00E11185">
        <w:rPr>
          <w:b/>
        </w:rPr>
        <w:t>s</w:t>
      </w:r>
      <w:r>
        <w:rPr>
          <w:b/>
        </w:rPr>
        <w:t xml:space="preserve"> </w:t>
      </w:r>
      <w:r w:rsidR="004D14D7">
        <w:rPr>
          <w:b/>
        </w:rPr>
        <w:t>35-36: Section 7.2.3</w:t>
      </w:r>
      <w:r>
        <w:rPr>
          <w:b/>
        </w:rPr>
        <w:t xml:space="preserve"> </w:t>
      </w:r>
      <w:r w:rsidR="004D14D7">
        <w:rPr>
          <w:b/>
        </w:rPr>
        <w:t xml:space="preserve">(b)(*) </w:t>
      </w:r>
      <w:r>
        <w:rPr>
          <w:b/>
        </w:rPr>
        <w:t xml:space="preserve">– </w:t>
      </w:r>
      <w:r w:rsidR="004D14D7">
        <w:t xml:space="preserve">Added the word “separate” to the footnote regarding (b), to clarify that multiple Dean’s letters are required in the case of joint appointments. </w:t>
      </w:r>
    </w:p>
    <w:p w:rsidR="003770ED" w:rsidRPr="003770ED" w:rsidRDefault="004D14D7" w:rsidP="00324A37">
      <w:pPr>
        <w:pStyle w:val="ListParagraph"/>
        <w:numPr>
          <w:ilvl w:val="1"/>
          <w:numId w:val="8"/>
        </w:numPr>
        <w:spacing w:after="0" w:line="240" w:lineRule="auto"/>
        <w:jc w:val="left"/>
        <w:rPr>
          <w:b/>
        </w:rPr>
      </w:pPr>
      <w:r>
        <w:rPr>
          <w:b/>
        </w:rPr>
        <w:t>Page 3</w:t>
      </w:r>
      <w:r w:rsidR="003770ED">
        <w:rPr>
          <w:b/>
        </w:rPr>
        <w:t xml:space="preserve">6: Section </w:t>
      </w:r>
      <w:r>
        <w:rPr>
          <w:b/>
        </w:rPr>
        <w:t>7.3.1</w:t>
      </w:r>
      <w:r w:rsidR="003770ED">
        <w:rPr>
          <w:b/>
        </w:rPr>
        <w:t xml:space="preserve"> – </w:t>
      </w:r>
      <w:r>
        <w:t>Edited first sentence to interpret what “at the stage of the committee” means.</w:t>
      </w:r>
      <w:r w:rsidR="003770ED">
        <w:t xml:space="preserve"> </w:t>
      </w:r>
    </w:p>
    <w:p w:rsidR="003770ED" w:rsidRPr="003770ED" w:rsidRDefault="003770ED" w:rsidP="000A59D8">
      <w:pPr>
        <w:pStyle w:val="ListParagraph"/>
        <w:spacing w:after="0" w:line="240" w:lineRule="auto"/>
        <w:ind w:left="1440"/>
        <w:jc w:val="left"/>
        <w:rPr>
          <w:b/>
        </w:rPr>
      </w:pPr>
    </w:p>
    <w:p w:rsidR="000A2BE3" w:rsidRDefault="000A2BE3" w:rsidP="00324A3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Section 8</w:t>
      </w:r>
    </w:p>
    <w:p w:rsidR="000A2BE3" w:rsidRPr="00060133" w:rsidRDefault="000A2BE3" w:rsidP="00324A37">
      <w:pPr>
        <w:pStyle w:val="ListParagraph"/>
        <w:numPr>
          <w:ilvl w:val="1"/>
          <w:numId w:val="11"/>
        </w:numPr>
        <w:spacing w:after="0" w:line="240" w:lineRule="auto"/>
        <w:jc w:val="left"/>
        <w:rPr>
          <w:b/>
        </w:rPr>
      </w:pPr>
      <w:r>
        <w:rPr>
          <w:b/>
        </w:rPr>
        <w:t xml:space="preserve">Page 37: Section 8.2 – </w:t>
      </w:r>
      <w:r>
        <w:t xml:space="preserve">Updated to </w:t>
      </w:r>
      <w:r w:rsidR="00B821DD">
        <w:t xml:space="preserve">reflect </w:t>
      </w:r>
      <w:r>
        <w:t xml:space="preserve">current SAC membership. </w:t>
      </w:r>
    </w:p>
    <w:p w:rsidR="000A2BE3" w:rsidRPr="000A2BE3" w:rsidRDefault="000A2BE3" w:rsidP="00324A37">
      <w:pPr>
        <w:pStyle w:val="ListParagraph"/>
        <w:numPr>
          <w:ilvl w:val="1"/>
          <w:numId w:val="11"/>
        </w:numPr>
        <w:spacing w:after="0" w:line="240" w:lineRule="auto"/>
        <w:jc w:val="left"/>
        <w:rPr>
          <w:b/>
        </w:rPr>
      </w:pPr>
      <w:r>
        <w:rPr>
          <w:b/>
        </w:rPr>
        <w:t xml:space="preserve">Page </w:t>
      </w:r>
      <w:r w:rsidR="00B821DD">
        <w:rPr>
          <w:b/>
        </w:rPr>
        <w:t xml:space="preserve">39: Section 8.4 – </w:t>
      </w:r>
      <w:r w:rsidR="00B821DD">
        <w:t>Updated to reflect current</w:t>
      </w:r>
      <w:r>
        <w:t xml:space="preserve"> SAC meeting schedule </w:t>
      </w:r>
      <w:r w:rsidR="00B821DD">
        <w:t>and deadlines.</w:t>
      </w:r>
    </w:p>
    <w:p w:rsidR="000A2BE3" w:rsidRPr="00060133" w:rsidRDefault="000A2BE3" w:rsidP="000A2BE3">
      <w:pPr>
        <w:pStyle w:val="ListParagraph"/>
        <w:spacing w:after="0" w:line="240" w:lineRule="auto"/>
        <w:ind w:left="1440"/>
        <w:jc w:val="left"/>
        <w:rPr>
          <w:b/>
        </w:rPr>
      </w:pPr>
    </w:p>
    <w:p w:rsidR="00C64B9E" w:rsidRDefault="000A2BE3" w:rsidP="00324A3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Section 9</w:t>
      </w:r>
    </w:p>
    <w:p w:rsidR="00E11185" w:rsidRDefault="00E11185" w:rsidP="00324A37">
      <w:pPr>
        <w:pStyle w:val="ListParagraph"/>
        <w:numPr>
          <w:ilvl w:val="1"/>
          <w:numId w:val="9"/>
        </w:numPr>
        <w:spacing w:after="0" w:line="240" w:lineRule="auto"/>
        <w:jc w:val="left"/>
        <w:rPr>
          <w:b/>
        </w:rPr>
      </w:pPr>
      <w:r>
        <w:rPr>
          <w:b/>
        </w:rPr>
        <w:t>Page</w:t>
      </w:r>
      <w:r w:rsidR="003770ED">
        <w:rPr>
          <w:b/>
        </w:rPr>
        <w:t xml:space="preserve"> </w:t>
      </w:r>
      <w:r>
        <w:rPr>
          <w:b/>
        </w:rPr>
        <w:t>40: Section 9.</w:t>
      </w:r>
      <w:r w:rsidR="00B821DD">
        <w:rPr>
          <w:b/>
        </w:rPr>
        <w:t>7</w:t>
      </w:r>
      <w:r>
        <w:rPr>
          <w:b/>
        </w:rPr>
        <w:t xml:space="preserve"> – </w:t>
      </w:r>
      <w:r>
        <w:t>Added</w:t>
      </w:r>
      <w:r w:rsidR="00B821DD">
        <w:t xml:space="preserve"> a final</w:t>
      </w:r>
      <w:r>
        <w:t xml:space="preserve"> sentence to clarify when multiple votes are not required.</w:t>
      </w:r>
    </w:p>
    <w:p w:rsidR="00060133" w:rsidRDefault="00060133" w:rsidP="000A59D8">
      <w:pPr>
        <w:pStyle w:val="ListParagraph"/>
        <w:spacing w:after="0" w:line="240" w:lineRule="auto"/>
        <w:jc w:val="left"/>
        <w:rPr>
          <w:b/>
        </w:rPr>
      </w:pPr>
    </w:p>
    <w:p w:rsidR="00060133" w:rsidRDefault="00060133" w:rsidP="00324A3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 xml:space="preserve">Section 11 </w:t>
      </w:r>
    </w:p>
    <w:p w:rsidR="00060133" w:rsidRPr="00E11185" w:rsidRDefault="00E11185" w:rsidP="00324A37">
      <w:pPr>
        <w:pStyle w:val="ListParagraph"/>
        <w:numPr>
          <w:ilvl w:val="1"/>
          <w:numId w:val="12"/>
        </w:numPr>
        <w:spacing w:after="0" w:line="240" w:lineRule="auto"/>
        <w:jc w:val="left"/>
        <w:rPr>
          <w:b/>
        </w:rPr>
      </w:pPr>
      <w:r>
        <w:rPr>
          <w:b/>
        </w:rPr>
        <w:t>Page 42</w:t>
      </w:r>
      <w:r w:rsidR="00060133">
        <w:rPr>
          <w:b/>
        </w:rPr>
        <w:t>: Section 11.</w:t>
      </w:r>
      <w:r>
        <w:rPr>
          <w:b/>
        </w:rPr>
        <w:t xml:space="preserve">3 – </w:t>
      </w:r>
      <w:r>
        <w:t xml:space="preserve">Added </w:t>
      </w:r>
      <w:r w:rsidR="00B821DD">
        <w:t xml:space="preserve">the word </w:t>
      </w:r>
      <w:r>
        <w:t>“separate” to clarify that multiple letters are required for joint appointments.</w:t>
      </w:r>
    </w:p>
    <w:p w:rsidR="00E11185" w:rsidRDefault="00E11185" w:rsidP="00E11185">
      <w:pPr>
        <w:pStyle w:val="ListParagraph"/>
        <w:spacing w:after="0" w:line="240" w:lineRule="auto"/>
        <w:ind w:left="1440"/>
        <w:jc w:val="left"/>
        <w:rPr>
          <w:b/>
        </w:rPr>
      </w:pPr>
    </w:p>
    <w:p w:rsidR="00E11185" w:rsidRDefault="00E11185" w:rsidP="00324A3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 xml:space="preserve">Section </w:t>
      </w:r>
      <w:r w:rsidR="00A6743C">
        <w:rPr>
          <w:b/>
        </w:rPr>
        <w:t>13</w:t>
      </w:r>
    </w:p>
    <w:p w:rsidR="00E11185" w:rsidRPr="00A6743C" w:rsidRDefault="00E11185" w:rsidP="00324A37">
      <w:pPr>
        <w:pStyle w:val="ListParagraph"/>
        <w:numPr>
          <w:ilvl w:val="1"/>
          <w:numId w:val="10"/>
        </w:numPr>
        <w:spacing w:after="0" w:line="240" w:lineRule="auto"/>
        <w:jc w:val="left"/>
      </w:pPr>
      <w:r>
        <w:rPr>
          <w:b/>
        </w:rPr>
        <w:t xml:space="preserve">Page </w:t>
      </w:r>
      <w:r w:rsidR="00A6743C">
        <w:rPr>
          <w:b/>
        </w:rPr>
        <w:t xml:space="preserve">43: Section 13 – </w:t>
      </w:r>
      <w:r w:rsidR="00A6743C" w:rsidRPr="00A6743C">
        <w:t xml:space="preserve">Updated contact information to reflect developments in HR. </w:t>
      </w:r>
      <w:r w:rsidRPr="00A6743C">
        <w:t xml:space="preserve"> </w:t>
      </w:r>
    </w:p>
    <w:p w:rsidR="00E11185" w:rsidRDefault="00E11185" w:rsidP="00E11185">
      <w:pPr>
        <w:pStyle w:val="ListParagraph"/>
        <w:spacing w:after="0" w:line="240" w:lineRule="auto"/>
        <w:ind w:left="1440"/>
        <w:jc w:val="left"/>
        <w:rPr>
          <w:b/>
        </w:rPr>
      </w:pPr>
    </w:p>
    <w:p w:rsidR="00E11185" w:rsidRDefault="00A6743C" w:rsidP="00324A3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Appendix 12</w:t>
      </w:r>
    </w:p>
    <w:p w:rsidR="00A6743C" w:rsidRPr="00A6743C" w:rsidRDefault="00A6743C" w:rsidP="00324A37">
      <w:pPr>
        <w:pStyle w:val="ListParagraph"/>
        <w:numPr>
          <w:ilvl w:val="1"/>
          <w:numId w:val="11"/>
        </w:numPr>
        <w:rPr>
          <w:b/>
        </w:rPr>
      </w:pPr>
      <w:r w:rsidRPr="00A6743C">
        <w:rPr>
          <w:b/>
        </w:rPr>
        <w:t xml:space="preserve">Page 91: Section 2 – </w:t>
      </w:r>
      <w:r w:rsidRPr="00A6743C">
        <w:t>Added</w:t>
      </w:r>
      <w:r>
        <w:t xml:space="preserve"> a</w:t>
      </w:r>
      <w:r w:rsidRPr="00A6743C">
        <w:t xml:space="preserve"> new bullet point</w:t>
      </w:r>
      <w:r w:rsidR="00B821DD">
        <w:t xml:space="preserve"> (second from the bottom of the page)</w:t>
      </w:r>
      <w:r>
        <w:t xml:space="preserve"> to </w:t>
      </w:r>
      <w:r w:rsidR="00B821DD">
        <w:t>confirm that SAC subcommittees that obtain new negative information must provide the candidate an opportunity to respond.</w:t>
      </w:r>
    </w:p>
    <w:p w:rsidR="00E11185" w:rsidRPr="00060133" w:rsidRDefault="00E11185" w:rsidP="00A6743C">
      <w:pPr>
        <w:pStyle w:val="ListParagraph"/>
        <w:spacing w:after="0" w:line="240" w:lineRule="auto"/>
        <w:ind w:left="1440"/>
        <w:jc w:val="left"/>
        <w:rPr>
          <w:b/>
        </w:rPr>
      </w:pPr>
    </w:p>
    <w:p w:rsidR="00E11185" w:rsidRDefault="00A6743C" w:rsidP="00324A3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Appendix 13</w:t>
      </w:r>
    </w:p>
    <w:p w:rsidR="00060133" w:rsidRDefault="00A6743C" w:rsidP="00324A37">
      <w:pPr>
        <w:pStyle w:val="ListParagraph"/>
        <w:numPr>
          <w:ilvl w:val="1"/>
          <w:numId w:val="12"/>
        </w:numPr>
        <w:spacing w:after="0" w:line="240" w:lineRule="auto"/>
        <w:jc w:val="left"/>
        <w:rPr>
          <w:b/>
        </w:rPr>
      </w:pPr>
      <w:r>
        <w:rPr>
          <w:b/>
        </w:rPr>
        <w:t xml:space="preserve">Pages 98-113 – </w:t>
      </w:r>
      <w:r>
        <w:t xml:space="preserve">Updated excerpts </w:t>
      </w:r>
      <w:r w:rsidR="00B821DD">
        <w:t>to accurately reflect Part 4 of the Collective Agreement</w:t>
      </w:r>
      <w:r w:rsidR="00F31A6C">
        <w:t>.</w:t>
      </w:r>
    </w:p>
    <w:p w:rsidR="00143B86" w:rsidRPr="00655DD5" w:rsidRDefault="00143B86" w:rsidP="000A59D8">
      <w:pPr>
        <w:spacing w:after="0" w:line="240" w:lineRule="auto"/>
        <w:jc w:val="left"/>
        <w:rPr>
          <w:b/>
        </w:rPr>
      </w:pPr>
    </w:p>
    <w:sectPr w:rsidR="00143B86" w:rsidRPr="00655DD5" w:rsidSect="000F0C2E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37" w:rsidRDefault="00324A37" w:rsidP="00AA16E7">
      <w:r>
        <w:separator/>
      </w:r>
    </w:p>
  </w:endnote>
  <w:endnote w:type="continuationSeparator" w:id="0">
    <w:p w:rsidR="00324A37" w:rsidRDefault="00324A37" w:rsidP="00AA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311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DA4" w:rsidRDefault="00865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5DA4" w:rsidRDefault="00865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37" w:rsidRDefault="00324A37" w:rsidP="00AA16E7">
      <w:r>
        <w:separator/>
      </w:r>
    </w:p>
  </w:footnote>
  <w:footnote w:type="continuationSeparator" w:id="0">
    <w:p w:rsidR="00324A37" w:rsidRDefault="00324A37" w:rsidP="00AA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C7" w:rsidRDefault="004C2EC7">
    <w:pPr>
      <w:pStyle w:val="Header"/>
      <w:jc w:val="right"/>
    </w:pPr>
  </w:p>
  <w:p w:rsidR="004C2EC7" w:rsidRDefault="004C2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2E" w:rsidRPr="000F0C2E" w:rsidRDefault="000F0C2E" w:rsidP="000F0C2E">
    <w:pPr>
      <w:pStyle w:val="Header"/>
    </w:pPr>
    <w:r w:rsidRPr="008A7839">
      <w:rPr>
        <w:noProof/>
        <w:lang w:val="en-CA" w:eastAsia="en-CA"/>
      </w:rPr>
      <w:drawing>
        <wp:inline distT="0" distB="0" distL="0" distR="0" wp14:anchorId="291DD372" wp14:editId="784583F8">
          <wp:extent cx="5562600" cy="857250"/>
          <wp:effectExtent l="19050" t="0" r="0" b="0"/>
          <wp:docPr id="2" name="Picture 7" descr="ubcblack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bcblack_fu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0AC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F0EFA"/>
    <w:multiLevelType w:val="hybridMultilevel"/>
    <w:tmpl w:val="6F4EA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5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????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67D"/>
    <w:multiLevelType w:val="hybridMultilevel"/>
    <w:tmpl w:val="914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5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????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FED"/>
    <w:multiLevelType w:val="hybridMultilevel"/>
    <w:tmpl w:val="977E2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5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????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0B53"/>
    <w:multiLevelType w:val="hybridMultilevel"/>
    <w:tmpl w:val="61F6B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5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????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32D95"/>
    <w:multiLevelType w:val="hybridMultilevel"/>
    <w:tmpl w:val="AC140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5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????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2CB2"/>
    <w:multiLevelType w:val="hybridMultilevel"/>
    <w:tmpl w:val="DCDEF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3815"/>
    <w:multiLevelType w:val="hybridMultilevel"/>
    <w:tmpl w:val="7974B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5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????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8424B"/>
    <w:multiLevelType w:val="hybridMultilevel"/>
    <w:tmpl w:val="D6E46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5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????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6FFC"/>
    <w:multiLevelType w:val="hybridMultilevel"/>
    <w:tmpl w:val="F0C66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5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????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876B1"/>
    <w:multiLevelType w:val="hybridMultilevel"/>
    <w:tmpl w:val="63345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5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????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F277A"/>
    <w:multiLevelType w:val="hybridMultilevel"/>
    <w:tmpl w:val="6526E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5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????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99F3E33-5F59-4204-B42C-39DAE4F6750B}"/>
    <w:docVar w:name="dgnword-eventsink" w:val="551051376"/>
  </w:docVars>
  <w:rsids>
    <w:rsidRoot w:val="00035040"/>
    <w:rsid w:val="0001585B"/>
    <w:rsid w:val="000169E3"/>
    <w:rsid w:val="00035040"/>
    <w:rsid w:val="0003691C"/>
    <w:rsid w:val="00051CEB"/>
    <w:rsid w:val="00052CF1"/>
    <w:rsid w:val="00056650"/>
    <w:rsid w:val="00060133"/>
    <w:rsid w:val="000862CD"/>
    <w:rsid w:val="000920D1"/>
    <w:rsid w:val="00093884"/>
    <w:rsid w:val="000A2BE3"/>
    <w:rsid w:val="000A59D8"/>
    <w:rsid w:val="000C49B8"/>
    <w:rsid w:val="000C7E96"/>
    <w:rsid w:val="000D0F35"/>
    <w:rsid w:val="000D3C5E"/>
    <w:rsid w:val="000F0C2E"/>
    <w:rsid w:val="000F6716"/>
    <w:rsid w:val="0010146E"/>
    <w:rsid w:val="00120071"/>
    <w:rsid w:val="001252B6"/>
    <w:rsid w:val="00126700"/>
    <w:rsid w:val="00130DCE"/>
    <w:rsid w:val="00143B86"/>
    <w:rsid w:val="001A7258"/>
    <w:rsid w:val="001D328E"/>
    <w:rsid w:val="002049BA"/>
    <w:rsid w:val="00210804"/>
    <w:rsid w:val="00215575"/>
    <w:rsid w:val="002174B5"/>
    <w:rsid w:val="002200F3"/>
    <w:rsid w:val="00220E0B"/>
    <w:rsid w:val="0022282D"/>
    <w:rsid w:val="00224F4D"/>
    <w:rsid w:val="00233773"/>
    <w:rsid w:val="002417A4"/>
    <w:rsid w:val="00242D44"/>
    <w:rsid w:val="002464A1"/>
    <w:rsid w:val="0024742D"/>
    <w:rsid w:val="00253E3A"/>
    <w:rsid w:val="0027203B"/>
    <w:rsid w:val="00272BA6"/>
    <w:rsid w:val="00274F49"/>
    <w:rsid w:val="00292037"/>
    <w:rsid w:val="002A447A"/>
    <w:rsid w:val="002C0A82"/>
    <w:rsid w:val="002C3DDD"/>
    <w:rsid w:val="002C5577"/>
    <w:rsid w:val="002D54A8"/>
    <w:rsid w:val="002D7260"/>
    <w:rsid w:val="002F3AEB"/>
    <w:rsid w:val="002F4A2C"/>
    <w:rsid w:val="002F5E00"/>
    <w:rsid w:val="00300D16"/>
    <w:rsid w:val="00301A59"/>
    <w:rsid w:val="00313DB1"/>
    <w:rsid w:val="00321064"/>
    <w:rsid w:val="00324A37"/>
    <w:rsid w:val="0036300F"/>
    <w:rsid w:val="00373AF5"/>
    <w:rsid w:val="003770ED"/>
    <w:rsid w:val="00381A3E"/>
    <w:rsid w:val="00382217"/>
    <w:rsid w:val="003A4888"/>
    <w:rsid w:val="003A6F3C"/>
    <w:rsid w:val="003B639F"/>
    <w:rsid w:val="003C2FA8"/>
    <w:rsid w:val="003C3FCF"/>
    <w:rsid w:val="003D2BCC"/>
    <w:rsid w:val="003E01A8"/>
    <w:rsid w:val="003E453F"/>
    <w:rsid w:val="003E566B"/>
    <w:rsid w:val="003F2728"/>
    <w:rsid w:val="003F2D8B"/>
    <w:rsid w:val="003F5000"/>
    <w:rsid w:val="003F564F"/>
    <w:rsid w:val="00403BE7"/>
    <w:rsid w:val="00411019"/>
    <w:rsid w:val="004115BB"/>
    <w:rsid w:val="00437D45"/>
    <w:rsid w:val="00444A64"/>
    <w:rsid w:val="004539C2"/>
    <w:rsid w:val="0046750F"/>
    <w:rsid w:val="00473132"/>
    <w:rsid w:val="004818FE"/>
    <w:rsid w:val="00487527"/>
    <w:rsid w:val="004A5B73"/>
    <w:rsid w:val="004A71A1"/>
    <w:rsid w:val="004C0697"/>
    <w:rsid w:val="004C2EC7"/>
    <w:rsid w:val="004D08A4"/>
    <w:rsid w:val="004D14D7"/>
    <w:rsid w:val="004D52A1"/>
    <w:rsid w:val="004E3DDF"/>
    <w:rsid w:val="004E4C24"/>
    <w:rsid w:val="004E72B0"/>
    <w:rsid w:val="0050202C"/>
    <w:rsid w:val="00504566"/>
    <w:rsid w:val="00506B4F"/>
    <w:rsid w:val="00511219"/>
    <w:rsid w:val="00511EB9"/>
    <w:rsid w:val="00515651"/>
    <w:rsid w:val="00517DBD"/>
    <w:rsid w:val="00520BB9"/>
    <w:rsid w:val="005218C6"/>
    <w:rsid w:val="00531FA5"/>
    <w:rsid w:val="00547349"/>
    <w:rsid w:val="005643F5"/>
    <w:rsid w:val="00576901"/>
    <w:rsid w:val="005B1D0C"/>
    <w:rsid w:val="005B4041"/>
    <w:rsid w:val="005C0863"/>
    <w:rsid w:val="005C2234"/>
    <w:rsid w:val="006009C1"/>
    <w:rsid w:val="00605D04"/>
    <w:rsid w:val="00632FFC"/>
    <w:rsid w:val="0063707C"/>
    <w:rsid w:val="0064538A"/>
    <w:rsid w:val="0065333B"/>
    <w:rsid w:val="00655DD5"/>
    <w:rsid w:val="00666AB3"/>
    <w:rsid w:val="00667146"/>
    <w:rsid w:val="00667FAD"/>
    <w:rsid w:val="006847C6"/>
    <w:rsid w:val="006908FB"/>
    <w:rsid w:val="00696B25"/>
    <w:rsid w:val="006A6225"/>
    <w:rsid w:val="006B2257"/>
    <w:rsid w:val="006B40CF"/>
    <w:rsid w:val="006C073A"/>
    <w:rsid w:val="006D1F8C"/>
    <w:rsid w:val="006D7C40"/>
    <w:rsid w:val="006F3EDA"/>
    <w:rsid w:val="006F559A"/>
    <w:rsid w:val="00701A30"/>
    <w:rsid w:val="00710AAA"/>
    <w:rsid w:val="00714611"/>
    <w:rsid w:val="00725E39"/>
    <w:rsid w:val="007319AA"/>
    <w:rsid w:val="0074248B"/>
    <w:rsid w:val="00753D72"/>
    <w:rsid w:val="007602CB"/>
    <w:rsid w:val="0077218C"/>
    <w:rsid w:val="00784221"/>
    <w:rsid w:val="00787C70"/>
    <w:rsid w:val="007A5CBA"/>
    <w:rsid w:val="007A7C0D"/>
    <w:rsid w:val="007B1322"/>
    <w:rsid w:val="007B75B2"/>
    <w:rsid w:val="007C0135"/>
    <w:rsid w:val="007F0CA6"/>
    <w:rsid w:val="007F2917"/>
    <w:rsid w:val="00806E4C"/>
    <w:rsid w:val="00826C40"/>
    <w:rsid w:val="00836710"/>
    <w:rsid w:val="008430EF"/>
    <w:rsid w:val="00854DD9"/>
    <w:rsid w:val="00865DA4"/>
    <w:rsid w:val="00882CB8"/>
    <w:rsid w:val="0089228A"/>
    <w:rsid w:val="008939E4"/>
    <w:rsid w:val="008A3F8D"/>
    <w:rsid w:val="008B05DA"/>
    <w:rsid w:val="008B68A4"/>
    <w:rsid w:val="008D086B"/>
    <w:rsid w:val="008D1265"/>
    <w:rsid w:val="0090392E"/>
    <w:rsid w:val="0092114D"/>
    <w:rsid w:val="00937384"/>
    <w:rsid w:val="009614BA"/>
    <w:rsid w:val="00961BFE"/>
    <w:rsid w:val="00962AC1"/>
    <w:rsid w:val="00980DAB"/>
    <w:rsid w:val="009A0A0E"/>
    <w:rsid w:val="009A0C86"/>
    <w:rsid w:val="009B6627"/>
    <w:rsid w:val="009D4352"/>
    <w:rsid w:val="009D6AF4"/>
    <w:rsid w:val="009E0B96"/>
    <w:rsid w:val="009E0F73"/>
    <w:rsid w:val="009E2B59"/>
    <w:rsid w:val="009F1086"/>
    <w:rsid w:val="009F7FDE"/>
    <w:rsid w:val="00A0038C"/>
    <w:rsid w:val="00A01D0C"/>
    <w:rsid w:val="00A04BA6"/>
    <w:rsid w:val="00A160BB"/>
    <w:rsid w:val="00A21D60"/>
    <w:rsid w:val="00A24720"/>
    <w:rsid w:val="00A25A45"/>
    <w:rsid w:val="00A2790E"/>
    <w:rsid w:val="00A30366"/>
    <w:rsid w:val="00A4086B"/>
    <w:rsid w:val="00A5191D"/>
    <w:rsid w:val="00A66DEF"/>
    <w:rsid w:val="00A6743C"/>
    <w:rsid w:val="00A7108E"/>
    <w:rsid w:val="00A8626F"/>
    <w:rsid w:val="00A971FD"/>
    <w:rsid w:val="00AA16E7"/>
    <w:rsid w:val="00AA268E"/>
    <w:rsid w:val="00AA2CFA"/>
    <w:rsid w:val="00AC0831"/>
    <w:rsid w:val="00AC4B6D"/>
    <w:rsid w:val="00AC4E12"/>
    <w:rsid w:val="00AC52FB"/>
    <w:rsid w:val="00AC6619"/>
    <w:rsid w:val="00AD1DBF"/>
    <w:rsid w:val="00AD5F40"/>
    <w:rsid w:val="00AE1080"/>
    <w:rsid w:val="00AE36CB"/>
    <w:rsid w:val="00B059FE"/>
    <w:rsid w:val="00B2180E"/>
    <w:rsid w:val="00B551DC"/>
    <w:rsid w:val="00B56035"/>
    <w:rsid w:val="00B63C1F"/>
    <w:rsid w:val="00B75D4C"/>
    <w:rsid w:val="00B80B93"/>
    <w:rsid w:val="00B821DD"/>
    <w:rsid w:val="00B86BBF"/>
    <w:rsid w:val="00B97C81"/>
    <w:rsid w:val="00BA6C96"/>
    <w:rsid w:val="00BC2DFC"/>
    <w:rsid w:val="00BC2F0F"/>
    <w:rsid w:val="00BD1322"/>
    <w:rsid w:val="00BD604D"/>
    <w:rsid w:val="00BF64B6"/>
    <w:rsid w:val="00C15700"/>
    <w:rsid w:val="00C21620"/>
    <w:rsid w:val="00C2575E"/>
    <w:rsid w:val="00C41C7D"/>
    <w:rsid w:val="00C43A17"/>
    <w:rsid w:val="00C537CE"/>
    <w:rsid w:val="00C5385F"/>
    <w:rsid w:val="00C61953"/>
    <w:rsid w:val="00C63BE1"/>
    <w:rsid w:val="00C64B9E"/>
    <w:rsid w:val="00C95CC6"/>
    <w:rsid w:val="00CB09B0"/>
    <w:rsid w:val="00CB12E2"/>
    <w:rsid w:val="00CB78B7"/>
    <w:rsid w:val="00CC373E"/>
    <w:rsid w:val="00CC5D34"/>
    <w:rsid w:val="00CC6889"/>
    <w:rsid w:val="00CD79DD"/>
    <w:rsid w:val="00CE2EB7"/>
    <w:rsid w:val="00CE60C8"/>
    <w:rsid w:val="00CF636C"/>
    <w:rsid w:val="00CF7D70"/>
    <w:rsid w:val="00D0556F"/>
    <w:rsid w:val="00D121F7"/>
    <w:rsid w:val="00D12D41"/>
    <w:rsid w:val="00D26B1B"/>
    <w:rsid w:val="00D41A4A"/>
    <w:rsid w:val="00D53546"/>
    <w:rsid w:val="00D700D1"/>
    <w:rsid w:val="00D72AB8"/>
    <w:rsid w:val="00D77CEA"/>
    <w:rsid w:val="00D951B5"/>
    <w:rsid w:val="00DA1446"/>
    <w:rsid w:val="00DA4398"/>
    <w:rsid w:val="00DA745A"/>
    <w:rsid w:val="00DC590A"/>
    <w:rsid w:val="00DD30D1"/>
    <w:rsid w:val="00DE7B25"/>
    <w:rsid w:val="00DF2AD3"/>
    <w:rsid w:val="00DF2D3C"/>
    <w:rsid w:val="00E11185"/>
    <w:rsid w:val="00E1192A"/>
    <w:rsid w:val="00E16D30"/>
    <w:rsid w:val="00E456F6"/>
    <w:rsid w:val="00E457F0"/>
    <w:rsid w:val="00E71C1B"/>
    <w:rsid w:val="00E80DE4"/>
    <w:rsid w:val="00E90189"/>
    <w:rsid w:val="00E9058E"/>
    <w:rsid w:val="00EA446A"/>
    <w:rsid w:val="00EB548F"/>
    <w:rsid w:val="00EC034C"/>
    <w:rsid w:val="00EC05E4"/>
    <w:rsid w:val="00EC650F"/>
    <w:rsid w:val="00EC745F"/>
    <w:rsid w:val="00ED118B"/>
    <w:rsid w:val="00EE0B04"/>
    <w:rsid w:val="00EE52CE"/>
    <w:rsid w:val="00EF32B5"/>
    <w:rsid w:val="00F04904"/>
    <w:rsid w:val="00F0519B"/>
    <w:rsid w:val="00F07BA7"/>
    <w:rsid w:val="00F12D51"/>
    <w:rsid w:val="00F31A6C"/>
    <w:rsid w:val="00F3555D"/>
    <w:rsid w:val="00F37181"/>
    <w:rsid w:val="00F6213B"/>
    <w:rsid w:val="00F64869"/>
    <w:rsid w:val="00F65B74"/>
    <w:rsid w:val="00F80BB8"/>
    <w:rsid w:val="00F82B10"/>
    <w:rsid w:val="00FA361A"/>
    <w:rsid w:val="00FC09D9"/>
    <w:rsid w:val="00FC0D4A"/>
    <w:rsid w:val="00FC1A52"/>
    <w:rsid w:val="00FC6EA8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99A39-407C-424B-82F3-119B8708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AD"/>
  </w:style>
  <w:style w:type="paragraph" w:styleId="Heading1">
    <w:name w:val="heading 1"/>
    <w:basedOn w:val="Normal"/>
    <w:next w:val="Normal"/>
    <w:link w:val="Heading1Char"/>
    <w:uiPriority w:val="9"/>
    <w:qFormat/>
    <w:rsid w:val="00667FA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FA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A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FA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FA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FA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FA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FA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FA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4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1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6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6E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67FA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67FA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67FA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7F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67FAD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667FAD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FA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7FAD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7FAD"/>
    <w:rPr>
      <w:i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A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FA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FA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F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FA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FA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FAD"/>
    <w:rPr>
      <w:i/>
      <w:iCs/>
    </w:rPr>
  </w:style>
  <w:style w:type="paragraph" w:styleId="NoSpacing">
    <w:name w:val="No Spacing"/>
    <w:uiPriority w:val="1"/>
    <w:qFormat/>
    <w:rsid w:val="00667F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7FA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67FA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FA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FA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67FAD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67FA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7FA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67FA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FA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67FAD"/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80"/>
  </w:style>
  <w:style w:type="paragraph" w:styleId="Footer">
    <w:name w:val="footer"/>
    <w:basedOn w:val="Normal"/>
    <w:link w:val="FooterChar"/>
    <w:uiPriority w:val="99"/>
    <w:unhideWhenUsed/>
    <w:rsid w:val="00AE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80"/>
  </w:style>
  <w:style w:type="paragraph" w:styleId="EndnoteText">
    <w:name w:val="endnote text"/>
    <w:basedOn w:val="Normal"/>
    <w:link w:val="EndnoteTextChar"/>
    <w:uiPriority w:val="99"/>
    <w:semiHidden/>
    <w:unhideWhenUsed/>
    <w:rsid w:val="00AE10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10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1080"/>
    <w:rPr>
      <w:vertAlign w:val="superscript"/>
    </w:rPr>
  </w:style>
  <w:style w:type="paragraph" w:styleId="ListBullet">
    <w:name w:val="List Bullet"/>
    <w:basedOn w:val="Normal"/>
    <w:uiPriority w:val="99"/>
    <w:unhideWhenUsed/>
    <w:rsid w:val="000F0C2E"/>
    <w:pPr>
      <w:numPr>
        <w:numId w:val="1"/>
      </w:numPr>
      <w:spacing w:line="259" w:lineRule="auto"/>
      <w:contextualSpacing/>
      <w:jc w:val="left"/>
    </w:pPr>
  </w:style>
  <w:style w:type="paragraph" w:customStyle="1" w:styleId="Default">
    <w:name w:val="Default"/>
    <w:rsid w:val="00FC09D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80E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e@mail.u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91B3-45AD-4472-9D46-207664E5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frguest</dc:creator>
  <cp:keywords/>
  <dc:description/>
  <cp:lastModifiedBy>Mare, Daniel A</cp:lastModifiedBy>
  <cp:revision>19</cp:revision>
  <cp:lastPrinted>2016-06-21T17:31:00Z</cp:lastPrinted>
  <dcterms:created xsi:type="dcterms:W3CDTF">2016-06-21T16:20:00Z</dcterms:created>
  <dcterms:modified xsi:type="dcterms:W3CDTF">2019-10-25T17:48:00Z</dcterms:modified>
</cp:coreProperties>
</file>