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31" w:rsidRDefault="00377D31" w:rsidP="00377D31">
      <w:pPr>
        <w:jc w:val="center"/>
        <w:rPr>
          <w:rFonts w:ascii="Tahoma" w:eastAsia="Times New Roman" w:hAnsi="Tahoma" w:cs="Tahoma"/>
          <w:color w:val="000000"/>
          <w:sz w:val="20"/>
          <w:szCs w:val="20"/>
        </w:rPr>
      </w:pPr>
      <w:r>
        <w:rPr>
          <w:rFonts w:ascii="Tahoma" w:eastAsia="Times New Roman" w:hAnsi="Tahoma" w:cs="Tahoma"/>
          <w:color w:val="000000"/>
          <w:sz w:val="20"/>
          <w:szCs w:val="20"/>
        </w:rPr>
        <w:t> </w:t>
      </w:r>
      <w:bookmarkStart w:id="0" w:name="_GoBack"/>
      <w:bookmarkEnd w:id="0"/>
    </w:p>
    <w:tbl>
      <w:tblPr>
        <w:tblW w:w="2500" w:type="pct"/>
        <w:jc w:val="center"/>
        <w:tblCellSpacing w:w="0" w:type="dxa"/>
        <w:tblBorders>
          <w:top w:val="outset" w:sz="8" w:space="0" w:color="005293"/>
          <w:left w:val="outset" w:sz="8" w:space="0" w:color="005293"/>
          <w:bottom w:val="outset" w:sz="8" w:space="0" w:color="005293"/>
          <w:right w:val="outset" w:sz="8" w:space="0" w:color="005293"/>
        </w:tblBorders>
        <w:shd w:val="clear" w:color="auto" w:fill="FFFFFF"/>
        <w:tblCellMar>
          <w:left w:w="0" w:type="dxa"/>
          <w:right w:w="0" w:type="dxa"/>
        </w:tblCellMar>
        <w:tblLook w:val="04A0" w:firstRow="1" w:lastRow="0" w:firstColumn="1" w:lastColumn="0" w:noHBand="0" w:noVBand="1"/>
      </w:tblPr>
      <w:tblGrid>
        <w:gridCol w:w="6820"/>
      </w:tblGrid>
      <w:tr w:rsidR="00377D31" w:rsidTr="00377D31">
        <w:trPr>
          <w:tblCellSpacing w:w="0" w:type="dxa"/>
          <w:jc w:val="center"/>
        </w:trPr>
        <w:tc>
          <w:tcPr>
            <w:tcW w:w="0" w:type="auto"/>
            <w:tcBorders>
              <w:top w:val="outset" w:sz="8" w:space="0" w:color="005293"/>
              <w:left w:val="outset" w:sz="8" w:space="0" w:color="005293"/>
              <w:bottom w:val="outset" w:sz="8" w:space="0" w:color="005293"/>
              <w:right w:val="outset" w:sz="8" w:space="0" w:color="005293"/>
            </w:tcBorders>
            <w:shd w:val="clear" w:color="auto" w:fill="F7F7F7"/>
            <w:tcMar>
              <w:top w:w="75" w:type="dxa"/>
              <w:left w:w="75" w:type="dxa"/>
              <w:bottom w:w="75" w:type="dxa"/>
              <w:right w:w="75"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630"/>
            </w:tblGrid>
            <w:tr w:rsidR="00377D31">
              <w:trPr>
                <w:tblCellSpacing w:w="0" w:type="dxa"/>
                <w:jc w:val="center"/>
              </w:trPr>
              <w:tc>
                <w:tcPr>
                  <w:tcW w:w="3750" w:type="pct"/>
                  <w:shd w:val="clear" w:color="auto" w:fill="auto"/>
                  <w:vAlign w:val="center"/>
                  <w:hideMark/>
                </w:tcPr>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2955"/>
                    <w:gridCol w:w="3675"/>
                  </w:tblGrid>
                  <w:tr w:rsidR="00377D31">
                    <w:trPr>
                      <w:tblCellSpacing w:w="0" w:type="dxa"/>
                      <w:jc w:val="center"/>
                    </w:trPr>
                    <w:tc>
                      <w:tcPr>
                        <w:tcW w:w="0" w:type="auto"/>
                        <w:gridSpan w:val="2"/>
                        <w:shd w:val="clear" w:color="auto" w:fill="auto"/>
                        <w:vAlign w:val="center"/>
                        <w:hideMark/>
                      </w:tcPr>
                      <w:p w:rsidR="00377D31" w:rsidRDefault="00377D31">
                        <w:pPr>
                          <w:rPr>
                            <w:rFonts w:ascii="Calibri" w:hAnsi="Calibri"/>
                            <w:color w:val="000000"/>
                            <w:sz w:val="20"/>
                            <w:szCs w:val="20"/>
                          </w:rPr>
                        </w:pPr>
                        <w:r>
                          <w:rPr>
                            <w:rFonts w:ascii="Calibri" w:hAnsi="Calibri"/>
                            <w:color w:val="000000"/>
                            <w:sz w:val="20"/>
                            <w:szCs w:val="20"/>
                          </w:rPr>
                          <w:t xml:space="preserve">25 July 2013 </w:t>
                        </w:r>
                      </w:p>
                      <w:p w:rsidR="00377D31" w:rsidRDefault="00377D31">
                        <w:pPr>
                          <w:pStyle w:val="NormalWeb"/>
                          <w:jc w:val="center"/>
                          <w:rPr>
                            <w:rFonts w:ascii="Myriad Pro" w:hAnsi="Myriad Pro"/>
                            <w:color w:val="000000"/>
                            <w:sz w:val="20"/>
                            <w:szCs w:val="20"/>
                          </w:rPr>
                        </w:pPr>
                        <w:r>
                          <w:rPr>
                            <w:rStyle w:val="Strong"/>
                            <w:color w:val="000000"/>
                            <w:sz w:val="20"/>
                            <w:szCs w:val="20"/>
                          </w:rPr>
                          <w:t xml:space="preserve">Joint Message from Provosts and Faculty Association </w:t>
                        </w:r>
                        <w:r>
                          <w:rPr>
                            <w:rFonts w:ascii="Myriad Pro" w:hAnsi="Myriad Pro"/>
                            <w:b/>
                            <w:bCs/>
                            <w:color w:val="000000"/>
                            <w:sz w:val="20"/>
                            <w:szCs w:val="20"/>
                          </w:rPr>
                          <w:br/>
                        </w:r>
                        <w:r>
                          <w:rPr>
                            <w:rStyle w:val="Strong"/>
                            <w:color w:val="000000"/>
                            <w:sz w:val="20"/>
                            <w:szCs w:val="20"/>
                          </w:rPr>
                          <w:t>to UBC Faculty Members</w:t>
                        </w:r>
                      </w:p>
                      <w:p w:rsidR="00377D31" w:rsidRDefault="00377D31">
                        <w:pPr>
                          <w:pStyle w:val="NormalWeb"/>
                          <w:rPr>
                            <w:color w:val="000000"/>
                            <w:sz w:val="20"/>
                            <w:szCs w:val="20"/>
                          </w:rPr>
                        </w:pPr>
                        <w:r>
                          <w:rPr>
                            <w:color w:val="000000"/>
                            <w:sz w:val="20"/>
                            <w:szCs w:val="20"/>
                          </w:rPr>
                          <w:t xml:space="preserve">Yesterday we received the award of Arbitrator Colin Taylor Q.C. which decides the July 1, 2012 - June 30, 2014 Collective Agreement between the University and the Faculty Association.  </w:t>
                        </w:r>
                        <w:r>
                          <w:rPr>
                            <w:color w:val="000000"/>
                            <w:sz w:val="20"/>
                            <w:szCs w:val="20"/>
                          </w:rPr>
                          <w:br/>
                          <w:t> </w:t>
                        </w:r>
                        <w:r>
                          <w:rPr>
                            <w:color w:val="000000"/>
                            <w:sz w:val="20"/>
                            <w:szCs w:val="20"/>
                          </w:rPr>
                          <w:br/>
                          <w:t>The bargaining and arbitration processes unfolded between February 2012 and June 2013.  Both parties entered the arbitration process with proposals for language changes as well as compensation increases.</w:t>
                        </w:r>
                        <w:r>
                          <w:rPr>
                            <w:color w:val="000000"/>
                            <w:sz w:val="20"/>
                            <w:szCs w:val="20"/>
                          </w:rPr>
                          <w:br/>
                          <w:t> </w:t>
                        </w:r>
                        <w:r>
                          <w:rPr>
                            <w:color w:val="000000"/>
                            <w:sz w:val="20"/>
                            <w:szCs w:val="20"/>
                          </w:rPr>
                          <w:br/>
                          <w:t>We have posted a link to the arbitration award at the following sites:</w:t>
                        </w:r>
                      </w:p>
                      <w:p w:rsidR="00377D31" w:rsidRDefault="00377D31">
                        <w:pPr>
                          <w:pStyle w:val="NormalWeb"/>
                          <w:rPr>
                            <w:color w:val="000000"/>
                            <w:sz w:val="20"/>
                            <w:szCs w:val="20"/>
                          </w:rPr>
                        </w:pPr>
                        <w:hyperlink r:id="rId5" w:history="1">
                          <w:r>
                            <w:rPr>
                              <w:rStyle w:val="Hyperlink"/>
                              <w:sz w:val="20"/>
                              <w:szCs w:val="20"/>
                            </w:rPr>
                            <w:t>Faculty Relations</w:t>
                          </w:r>
                        </w:hyperlink>
                        <w:r>
                          <w:rPr>
                            <w:color w:val="000000"/>
                            <w:sz w:val="20"/>
                            <w:szCs w:val="20"/>
                          </w:rPr>
                          <w:t xml:space="preserve">; </w:t>
                        </w:r>
                        <w:hyperlink r:id="rId6" w:history="1">
                          <w:r>
                            <w:rPr>
                              <w:rStyle w:val="Hyperlink"/>
                              <w:sz w:val="20"/>
                              <w:szCs w:val="20"/>
                            </w:rPr>
                            <w:t>Faculty Association</w:t>
                          </w:r>
                        </w:hyperlink>
                        <w:r>
                          <w:rPr>
                            <w:color w:val="000000"/>
                            <w:sz w:val="20"/>
                            <w:szCs w:val="20"/>
                          </w:rPr>
                          <w:t xml:space="preserve"> </w:t>
                        </w:r>
                      </w:p>
                      <w:p w:rsidR="00377D31" w:rsidRDefault="00377D31">
                        <w:pPr>
                          <w:pStyle w:val="NormalWeb"/>
                          <w:rPr>
                            <w:color w:val="000000"/>
                            <w:sz w:val="20"/>
                            <w:szCs w:val="20"/>
                          </w:rPr>
                        </w:pPr>
                        <w:r>
                          <w:rPr>
                            <w:color w:val="000000"/>
                            <w:sz w:val="20"/>
                            <w:szCs w:val="20"/>
                          </w:rPr>
                          <w:t>Key elements of the decision are as follows:</w:t>
                        </w:r>
                      </w:p>
                      <w:p w:rsidR="00377D31" w:rsidRDefault="00377D31">
                        <w:pPr>
                          <w:pStyle w:val="NormalWeb"/>
                          <w:rPr>
                            <w:color w:val="000000"/>
                            <w:sz w:val="20"/>
                            <w:szCs w:val="20"/>
                          </w:rPr>
                        </w:pPr>
                        <w:r>
                          <w:rPr>
                            <w:color w:val="000000"/>
                            <w:sz w:val="20"/>
                            <w:szCs w:val="20"/>
                          </w:rPr>
                          <w:t> *</w:t>
                        </w:r>
                        <w:proofErr w:type="gramStart"/>
                        <w:r>
                          <w:rPr>
                            <w:color w:val="000000"/>
                            <w:sz w:val="20"/>
                            <w:szCs w:val="20"/>
                          </w:rPr>
                          <w:t>  General</w:t>
                        </w:r>
                        <w:proofErr w:type="gramEnd"/>
                        <w:r>
                          <w:rPr>
                            <w:color w:val="000000"/>
                            <w:sz w:val="20"/>
                            <w:szCs w:val="20"/>
                          </w:rPr>
                          <w:t xml:space="preserve"> Increases:  The award provides for a general increase of 2.45% for July 1, 2012 and 2.4% for July 1, 2013.  The Arbitrator's decision was based on the language of the Collective Agreement rather than the Provincial Government's bargaining mandate.  After weighing (</w:t>
                        </w:r>
                        <w:proofErr w:type="spellStart"/>
                        <w:r>
                          <w:rPr>
                            <w:color w:val="000000"/>
                            <w:sz w:val="20"/>
                            <w:szCs w:val="20"/>
                          </w:rPr>
                          <w:t>i</w:t>
                        </w:r>
                        <w:proofErr w:type="spellEnd"/>
                        <w:r>
                          <w:rPr>
                            <w:color w:val="000000"/>
                            <w:sz w:val="20"/>
                            <w:szCs w:val="20"/>
                          </w:rPr>
                          <w:t xml:space="preserve">) the University's need to maintain academic quality, (ii) local and national CPI and wage increases, as well as (iii) salaries and benefits at other Canadian universities, he found that a 2.5% increase per year (inclusive of the Retention Funds described next) was appropriate.  </w:t>
                        </w:r>
                      </w:p>
                      <w:p w:rsidR="00377D31" w:rsidRDefault="00377D31">
                        <w:pPr>
                          <w:pStyle w:val="NormalWeb"/>
                          <w:rPr>
                            <w:color w:val="000000"/>
                            <w:sz w:val="20"/>
                            <w:szCs w:val="20"/>
                          </w:rPr>
                        </w:pPr>
                        <w:r>
                          <w:rPr>
                            <w:color w:val="000000"/>
                            <w:sz w:val="20"/>
                            <w:szCs w:val="20"/>
                          </w:rPr>
                          <w:t xml:space="preserve"> * Retention Funds:  The arbitrator awarded a retention fund of $200,000 for 2012, and a retention fund of $400,000 for 2013.    </w:t>
                        </w:r>
                      </w:p>
                      <w:p w:rsidR="00377D31" w:rsidRDefault="00377D31">
                        <w:pPr>
                          <w:pStyle w:val="NormalWeb"/>
                          <w:rPr>
                            <w:color w:val="000000"/>
                            <w:sz w:val="20"/>
                            <w:szCs w:val="20"/>
                          </w:rPr>
                        </w:pPr>
                        <w:r>
                          <w:rPr>
                            <w:color w:val="000000"/>
                            <w:sz w:val="20"/>
                            <w:szCs w:val="20"/>
                          </w:rPr>
                          <w:t> * CPI/ Merit/ PSA (PTR):  The CPI and Merit/PSA awards will continue at 2.5%, as well as the 1% lump sum payment for each year (as provided for in the last Collective Agreement).</w:t>
                        </w:r>
                      </w:p>
                      <w:p w:rsidR="00377D31" w:rsidRDefault="00377D31">
                        <w:pPr>
                          <w:pStyle w:val="NormalWeb"/>
                          <w:rPr>
                            <w:color w:val="000000"/>
                            <w:sz w:val="20"/>
                            <w:szCs w:val="20"/>
                          </w:rPr>
                        </w:pPr>
                        <w:r>
                          <w:rPr>
                            <w:color w:val="000000"/>
                            <w:sz w:val="20"/>
                            <w:szCs w:val="20"/>
                          </w:rPr>
                          <w:t> * Language Proposals: The Arbitrator did not decide on any of the language proposals, reasoning that the Faculty Association and the University are sophisticated parties in a mature relationship with a history of reaching agreements.  He thought we should try again to resolve these issues ourselves.  Of course, bargaining begins again early next year.</w:t>
                        </w:r>
                      </w:p>
                      <w:p w:rsidR="00377D31" w:rsidRDefault="00377D31">
                        <w:pPr>
                          <w:pStyle w:val="NormalWeb"/>
                          <w:rPr>
                            <w:color w:val="000000"/>
                            <w:sz w:val="20"/>
                            <w:szCs w:val="20"/>
                          </w:rPr>
                        </w:pPr>
                        <w:r>
                          <w:rPr>
                            <w:color w:val="000000"/>
                            <w:sz w:val="20"/>
                            <w:szCs w:val="20"/>
                          </w:rPr>
                          <w:t>As you know, PTR and the 1% lump sum have already been processed for 2012.  The University will begin processing the general increases for 2012 and 2013, as well as the PTR for 2013 as soon as possible.  The University will be able to provide updates starting in September as to the dates the three increases will be paid out.</w:t>
                        </w:r>
                        <w:r>
                          <w:rPr>
                            <w:color w:val="000000"/>
                            <w:sz w:val="20"/>
                            <w:szCs w:val="20"/>
                          </w:rPr>
                          <w:br/>
                          <w:t> </w:t>
                        </w:r>
                        <w:r>
                          <w:rPr>
                            <w:color w:val="000000"/>
                            <w:sz w:val="20"/>
                            <w:szCs w:val="20"/>
                          </w:rPr>
                          <w:br/>
                          <w:t>Finally, we wish to thank Mr. Taylor for his clear and thoughtful decision.  We look forward to working together to implement it, as well as the other matters resolved in the bargaining process.</w:t>
                        </w:r>
                      </w:p>
                      <w:p w:rsidR="00377D31" w:rsidRDefault="00377D31">
                        <w:pPr>
                          <w:pStyle w:val="NormalWeb"/>
                          <w:rPr>
                            <w:color w:val="000000"/>
                            <w:sz w:val="20"/>
                            <w:szCs w:val="20"/>
                          </w:rPr>
                        </w:pPr>
                        <w:r>
                          <w:rPr>
                            <w:color w:val="000000"/>
                            <w:sz w:val="20"/>
                            <w:szCs w:val="20"/>
                          </w:rPr>
                          <w:t xml:space="preserve">Signed by:                                                                                             </w:t>
                        </w:r>
                      </w:p>
                      <w:p w:rsidR="00377D31" w:rsidRDefault="00377D31">
                        <w:pPr>
                          <w:pStyle w:val="NormalWeb"/>
                          <w:rPr>
                            <w:color w:val="000000"/>
                            <w:sz w:val="20"/>
                            <w:szCs w:val="20"/>
                          </w:rPr>
                        </w:pPr>
                        <w:r>
                          <w:rPr>
                            <w:color w:val="000000"/>
                            <w:sz w:val="20"/>
                            <w:szCs w:val="20"/>
                          </w:rPr>
                          <w:t>David H. Farrar, Provost &amp; Vice President Academic (UBCV) </w:t>
                        </w:r>
                        <w:r>
                          <w:rPr>
                            <w:color w:val="000000"/>
                            <w:sz w:val="20"/>
                            <w:szCs w:val="20"/>
                          </w:rPr>
                          <w:br/>
                          <w:t xml:space="preserve">Gordon </w:t>
                        </w:r>
                        <w:proofErr w:type="spellStart"/>
                        <w:r>
                          <w:rPr>
                            <w:color w:val="000000"/>
                            <w:sz w:val="20"/>
                            <w:szCs w:val="20"/>
                          </w:rPr>
                          <w:t>Binsted</w:t>
                        </w:r>
                        <w:proofErr w:type="spellEnd"/>
                        <w:r>
                          <w:rPr>
                            <w:color w:val="000000"/>
                            <w:sz w:val="20"/>
                            <w:szCs w:val="20"/>
                          </w:rPr>
                          <w:t>, Acting Provost &amp; Vice Principal (UBCO)</w:t>
                        </w:r>
                        <w:r>
                          <w:rPr>
                            <w:color w:val="000000"/>
                            <w:sz w:val="20"/>
                            <w:szCs w:val="20"/>
                          </w:rPr>
                          <w:br/>
                          <w:t>Nancy Langton, President, UBC Faculty Association</w:t>
                        </w:r>
                      </w:p>
                    </w:tc>
                  </w:tr>
                  <w:tr w:rsidR="00377D31">
                    <w:trPr>
                      <w:tblCellSpacing w:w="0" w:type="dxa"/>
                      <w:jc w:val="center"/>
                    </w:trPr>
                    <w:tc>
                      <w:tcPr>
                        <w:tcW w:w="0" w:type="auto"/>
                        <w:shd w:val="clear" w:color="auto" w:fill="auto"/>
                        <w:vAlign w:val="center"/>
                        <w:hideMark/>
                      </w:tcPr>
                      <w:p w:rsidR="00377D31" w:rsidRDefault="00377D31">
                        <w:pPr>
                          <w:rPr>
                            <w:rFonts w:ascii="Calibri" w:hAnsi="Calibri"/>
                            <w:color w:val="000000"/>
                            <w:sz w:val="20"/>
                            <w:szCs w:val="20"/>
                          </w:rPr>
                        </w:pPr>
                        <w:r>
                          <w:rPr>
                            <w:rFonts w:ascii="Calibri" w:hAnsi="Calibri"/>
                            <w:color w:val="000000"/>
                            <w:sz w:val="20"/>
                            <w:szCs w:val="20"/>
                          </w:rPr>
                          <w:t> </w:t>
                        </w:r>
                      </w:p>
                    </w:tc>
                    <w:tc>
                      <w:tcPr>
                        <w:tcW w:w="0" w:type="auto"/>
                        <w:shd w:val="clear" w:color="auto" w:fill="auto"/>
                        <w:vAlign w:val="center"/>
                        <w:hideMark/>
                      </w:tcPr>
                      <w:p w:rsidR="00377D31" w:rsidRDefault="00377D31">
                        <w:pPr>
                          <w:jc w:val="right"/>
                          <w:rPr>
                            <w:rFonts w:ascii="Calibri" w:hAnsi="Calibri"/>
                            <w:color w:val="000000"/>
                            <w:sz w:val="20"/>
                            <w:szCs w:val="20"/>
                          </w:rPr>
                        </w:pPr>
                        <w:r>
                          <w:rPr>
                            <w:rFonts w:ascii="Calibri" w:hAnsi="Calibri"/>
                            <w:color w:val="000000"/>
                            <w:sz w:val="20"/>
                            <w:szCs w:val="20"/>
                          </w:rPr>
                          <w:t> </w:t>
                        </w:r>
                      </w:p>
                    </w:tc>
                  </w:tr>
                  <w:tr w:rsidR="00377D31">
                    <w:trPr>
                      <w:tblCellSpacing w:w="0" w:type="dxa"/>
                      <w:jc w:val="center"/>
                    </w:trPr>
                    <w:tc>
                      <w:tcPr>
                        <w:tcW w:w="1850" w:type="pct"/>
                        <w:shd w:val="clear" w:color="auto" w:fill="auto"/>
                        <w:vAlign w:val="center"/>
                        <w:hideMark/>
                      </w:tcPr>
                      <w:p w:rsidR="00377D31" w:rsidRDefault="00377D31">
                        <w:pPr>
                          <w:rPr>
                            <w:rFonts w:ascii="Myriad Pro" w:hAnsi="Myriad Pro"/>
                            <w:color w:val="000000"/>
                            <w:sz w:val="20"/>
                            <w:szCs w:val="20"/>
                          </w:rPr>
                        </w:pPr>
                        <w:r>
                          <w:rPr>
                            <w:rFonts w:ascii="Myriad Pro" w:hAnsi="Myriad Pro"/>
                            <w:noProof/>
                            <w:color w:val="000000"/>
                            <w:sz w:val="20"/>
                            <w:szCs w:val="20"/>
                          </w:rPr>
                          <mc:AlternateContent>
                            <mc:Choice Requires="wps">
                              <w:drawing>
                                <wp:inline distT="0" distB="0" distL="0" distR="0">
                                  <wp:extent cx="1876425" cy="419100"/>
                                  <wp:effectExtent l="0" t="0" r="0" b="0"/>
                                  <wp:docPr id="2" name="Rectangle 2" descr="http://www.facultyassociation.ubc.ca/img/logo-ful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D31" w:rsidRDefault="00377D31" w:rsidP="00377D31">
                                              <w:pPr>
                                                <w:jc w:val="center"/>
                                              </w:pPr>
                                              <w:r>
                                                <w:rPr>
                                                  <w:rFonts w:ascii="Myriad Pro" w:hAnsi="Myriad Pro"/>
                                                  <w:noProof/>
                                                  <w:color w:val="000000"/>
                                                  <w:sz w:val="20"/>
                                                  <w:szCs w:val="20"/>
                                                </w:rPr>
                                                <w:drawing>
                                                  <wp:inline distT="0" distB="0" distL="0" distR="0">
                                                    <wp:extent cx="1693545" cy="378254"/>
                                                    <wp:effectExtent l="0" t="0" r="1905" b="3175"/>
                                                    <wp:docPr id="3" name="Picture 3" descr="http://www.facultyassociation.ubc.ca/img/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cultyassociation.ubc.ca/img/logo-full.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93545" cy="3782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2" o:spid="_x0000_s1026" alt="http://www.facultyassociation.ubc.ca/img/logo-full.png" style="width:14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" filled="f" stroked="f">
                                  <o:lock v:ext="edit" aspectratio="t"/>
                                  <v:textbox>
                                    <w:txbxContent>
                                      <w:p w:rsidR="00377D31" w:rsidRDefault="00377D31" w:rsidP="00377D31">
                                        <w:pPr>
                                          <w:jc w:val="center"/>
                                        </w:pPr>
                                        <w:r>
                                          <w:rPr>
                                            <w:rFonts w:ascii="Myriad Pro" w:hAnsi="Myriad Pro"/>
                                            <w:noProof/>
                                            <w:color w:val="000000"/>
                                            <w:sz w:val="20"/>
                                            <w:szCs w:val="20"/>
                                          </w:rPr>
                                          <w:drawing>
                                            <wp:inline distT="0" distB="0" distL="0" distR="0">
                                              <wp:extent cx="1693545" cy="378254"/>
                                              <wp:effectExtent l="0" t="0" r="1905" b="3175"/>
                                              <wp:docPr id="3" name="Picture 3" descr="http://www.facultyassociation.ubc.ca/img/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cultyassociation.ubc.ca/img/logo-full.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93545" cy="378254"/>
                                                      </a:xfrm>
                                                      <a:prstGeom prst="rect">
                                                        <a:avLst/>
                                                      </a:prstGeom>
                                                      <a:noFill/>
                                                      <a:ln>
                                                        <a:noFill/>
                                                      </a:ln>
                                                    </pic:spPr>
                                                  </pic:pic>
                                                </a:graphicData>
                                              </a:graphic>
                                            </wp:inline>
                                          </w:drawing>
                                        </w:r>
                                      </w:p>
                                    </w:txbxContent>
                                  </v:textbox>
                                  <w10:anchorlock/>
                                </v:rect>
                              </w:pict>
                            </mc:Fallback>
                          </mc:AlternateContent>
                        </w:r>
                      </w:p>
                    </w:tc>
                    <w:tc>
                      <w:tcPr>
                        <w:tcW w:w="1900" w:type="pct"/>
                        <w:shd w:val="clear" w:color="auto" w:fill="auto"/>
                        <w:vAlign w:val="center"/>
                        <w:hideMark/>
                      </w:tcPr>
                      <w:p w:rsidR="00377D31" w:rsidRDefault="00377D31">
                        <w:pPr>
                          <w:jc w:val="right"/>
                          <w:rPr>
                            <w:rFonts w:ascii="Myriad Pro" w:hAnsi="Myriad Pro"/>
                            <w:color w:val="000000"/>
                            <w:sz w:val="20"/>
                            <w:szCs w:val="20"/>
                          </w:rPr>
                        </w:pPr>
                        <w:r>
                          <w:rPr>
                            <w:rFonts w:ascii="Myriad Pro" w:hAnsi="Myriad Pro"/>
                            <w:noProof/>
                            <w:color w:val="000000"/>
                            <w:sz w:val="20"/>
                            <w:szCs w:val="20"/>
                          </w:rPr>
                          <mc:AlternateContent>
                            <mc:Choice Requires="wps">
                              <w:drawing>
                                <wp:inline distT="0" distB="0" distL="0" distR="0">
                                  <wp:extent cx="2333625" cy="457200"/>
                                  <wp:effectExtent l="0" t="0" r="0" b="0"/>
                                  <wp:docPr id="1" name="Rectangle 1" descr="http://www.facultyassociation.ubc.ca/img/ubc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D31" w:rsidRDefault="00377D31" w:rsidP="00377D31">
                                              <w:pPr>
                                                <w:jc w:val="center"/>
                                              </w:pPr>
                                              <w:r>
                                                <w:rPr>
                                                  <w:rFonts w:ascii="Myriad Pro" w:hAnsi="Myriad Pro"/>
                                                  <w:noProof/>
                                                  <w:color w:val="000000"/>
                                                  <w:sz w:val="20"/>
                                                  <w:szCs w:val="20"/>
                                                </w:rPr>
                                                <w:drawing>
                                                  <wp:inline distT="0" distB="0" distL="0" distR="0">
                                                    <wp:extent cx="2150745" cy="421370"/>
                                                    <wp:effectExtent l="0" t="0" r="1905" b="0"/>
                                                    <wp:docPr id="4" name="Picture 4" descr="http://www.facultyassociation.ubc.ca/img/u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cultyassociation.ubc.ca/img/ubclogo.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0745" cy="4213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7" alt="http://www.facultyassociation.ubc.ca/img/ubclogo.png" style="width:183.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" filled="f" stroked="f">
                                  <o:lock v:ext="edit" aspectratio="t"/>
                                  <v:textbox>
                                    <w:txbxContent>
                                      <w:p w:rsidR="00377D31" w:rsidRDefault="00377D31" w:rsidP="00377D31">
                                        <w:pPr>
                                          <w:jc w:val="center"/>
                                        </w:pPr>
                                        <w:r>
                                          <w:rPr>
                                            <w:rFonts w:ascii="Myriad Pro" w:hAnsi="Myriad Pro"/>
                                            <w:noProof/>
                                            <w:color w:val="000000"/>
                                            <w:sz w:val="20"/>
                                            <w:szCs w:val="20"/>
                                          </w:rPr>
                                          <w:drawing>
                                            <wp:inline distT="0" distB="0" distL="0" distR="0">
                                              <wp:extent cx="2150745" cy="421370"/>
                                              <wp:effectExtent l="0" t="0" r="1905" b="0"/>
                                              <wp:docPr id="4" name="Picture 4" descr="http://www.facultyassociation.ubc.ca/img/u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cultyassociation.ubc.ca/img/ubclogo.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0745" cy="421370"/>
                                                      </a:xfrm>
                                                      <a:prstGeom prst="rect">
                                                        <a:avLst/>
                                                      </a:prstGeom>
                                                      <a:noFill/>
                                                      <a:ln>
                                                        <a:noFill/>
                                                      </a:ln>
                                                    </pic:spPr>
                                                  </pic:pic>
                                                </a:graphicData>
                                              </a:graphic>
                                            </wp:inline>
                                          </w:drawing>
                                        </w:r>
                                      </w:p>
                                    </w:txbxContent>
                                  </v:textbox>
                                  <w10:anchorlock/>
                                </v:rect>
                              </w:pict>
                            </mc:Fallback>
                          </mc:AlternateContent>
                        </w:r>
                      </w:p>
                    </w:tc>
                  </w:tr>
                </w:tbl>
                <w:p w:rsidR="00377D31" w:rsidRDefault="00377D31">
                  <w:pPr>
                    <w:jc w:val="center"/>
                    <w:rPr>
                      <w:rFonts w:eastAsia="Times New Roman"/>
                      <w:sz w:val="20"/>
                      <w:szCs w:val="20"/>
                    </w:rPr>
                  </w:pPr>
                </w:p>
              </w:tc>
            </w:tr>
          </w:tbl>
          <w:p w:rsidR="00377D31" w:rsidRDefault="00377D31">
            <w:pPr>
              <w:jc w:val="center"/>
              <w:rPr>
                <w:rFonts w:eastAsia="Times New Roman"/>
                <w:sz w:val="20"/>
                <w:szCs w:val="20"/>
              </w:rPr>
            </w:pPr>
          </w:p>
        </w:tc>
      </w:tr>
    </w:tbl>
    <w:p w:rsidR="005609E0" w:rsidRDefault="005609E0"/>
    <w:sectPr w:rsidR="0056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31"/>
    <w:rsid w:val="00377D31"/>
    <w:rsid w:val="0056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D31"/>
    <w:rPr>
      <w:color w:val="0000FF"/>
      <w:u w:val="single"/>
    </w:rPr>
  </w:style>
  <w:style w:type="paragraph" w:styleId="NormalWeb">
    <w:name w:val="Normal (Web)"/>
    <w:basedOn w:val="Normal"/>
    <w:uiPriority w:val="99"/>
    <w:unhideWhenUsed/>
    <w:rsid w:val="00377D31"/>
  </w:style>
  <w:style w:type="character" w:styleId="Strong">
    <w:name w:val="Strong"/>
    <w:basedOn w:val="DefaultParagraphFont"/>
    <w:uiPriority w:val="22"/>
    <w:qFormat/>
    <w:rsid w:val="00377D31"/>
    <w:rPr>
      <w:b/>
      <w:bCs/>
    </w:rPr>
  </w:style>
  <w:style w:type="paragraph" w:styleId="BalloonText">
    <w:name w:val="Balloon Text"/>
    <w:basedOn w:val="Normal"/>
    <w:link w:val="BalloonTextChar"/>
    <w:uiPriority w:val="99"/>
    <w:semiHidden/>
    <w:unhideWhenUsed/>
    <w:rsid w:val="00377D31"/>
    <w:rPr>
      <w:rFonts w:ascii="Tahoma" w:hAnsi="Tahoma" w:cs="Tahoma"/>
      <w:sz w:val="16"/>
      <w:szCs w:val="16"/>
    </w:rPr>
  </w:style>
  <w:style w:type="character" w:customStyle="1" w:styleId="BalloonTextChar">
    <w:name w:val="Balloon Text Char"/>
    <w:basedOn w:val="DefaultParagraphFont"/>
    <w:link w:val="BalloonText"/>
    <w:uiPriority w:val="99"/>
    <w:semiHidden/>
    <w:rsid w:val="00377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D31"/>
    <w:rPr>
      <w:color w:val="0000FF"/>
      <w:u w:val="single"/>
    </w:rPr>
  </w:style>
  <w:style w:type="paragraph" w:styleId="NormalWeb">
    <w:name w:val="Normal (Web)"/>
    <w:basedOn w:val="Normal"/>
    <w:uiPriority w:val="99"/>
    <w:unhideWhenUsed/>
    <w:rsid w:val="00377D31"/>
  </w:style>
  <w:style w:type="character" w:styleId="Strong">
    <w:name w:val="Strong"/>
    <w:basedOn w:val="DefaultParagraphFont"/>
    <w:uiPriority w:val="22"/>
    <w:qFormat/>
    <w:rsid w:val="00377D31"/>
    <w:rPr>
      <w:b/>
      <w:bCs/>
    </w:rPr>
  </w:style>
  <w:style w:type="paragraph" w:styleId="BalloonText">
    <w:name w:val="Balloon Text"/>
    <w:basedOn w:val="Normal"/>
    <w:link w:val="BalloonTextChar"/>
    <w:uiPriority w:val="99"/>
    <w:semiHidden/>
    <w:unhideWhenUsed/>
    <w:rsid w:val="00377D31"/>
    <w:rPr>
      <w:rFonts w:ascii="Tahoma" w:hAnsi="Tahoma" w:cs="Tahoma"/>
      <w:sz w:val="16"/>
      <w:szCs w:val="16"/>
    </w:rPr>
  </w:style>
  <w:style w:type="character" w:customStyle="1" w:styleId="BalloonTextChar">
    <w:name w:val="Balloon Text Char"/>
    <w:basedOn w:val="DefaultParagraphFont"/>
    <w:link w:val="BalloonText"/>
    <w:uiPriority w:val="99"/>
    <w:semiHidden/>
    <w:rsid w:val="00377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CE8951.A23017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ultyassociation.ubc.ca/bargainingupdate.php" TargetMode="External"/><Relationship Id="rId11" Type="http://schemas.openxmlformats.org/officeDocument/2006/relationships/fontTable" Target="fontTable.xml"/><Relationship Id="rId5" Type="http://schemas.openxmlformats.org/officeDocument/2006/relationships/hyperlink" Target="http://www.hr.ubc.ca/faculty-relations/collective-agreements/faculty-bargaining/" TargetMode="External"/><Relationship Id="rId10" Type="http://schemas.openxmlformats.org/officeDocument/2006/relationships/image" Target="cid:image006.png@01CE8951.A230172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Coburn, Bekkah</dc:creator>
  <cp:lastModifiedBy>Coburn, Bekkah</cp:lastModifiedBy>
  <cp:revision>1</cp:revision>
  <dcterms:created xsi:type="dcterms:W3CDTF">2013-07-25T23:41:00Z</dcterms:created>
  <dcterms:modified xsi:type="dcterms:W3CDTF">2013-07-25T23:42:00Z</dcterms:modified>
</cp:coreProperties>
</file>