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AE" w:rsidRPr="00B024FD" w:rsidRDefault="00902AAE" w:rsidP="00902AAE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  <w:sz w:val="22"/>
          <w:szCs w:val="22"/>
        </w:rPr>
      </w:pPr>
      <w:r w:rsidRPr="00B024FD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 xml:space="preserve">2018 </w:t>
      </w:r>
      <w:proofErr w:type="spellStart"/>
      <w:r w:rsidRPr="00B024FD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>M&amp;P</w:t>
      </w:r>
      <w:proofErr w:type="spellEnd"/>
      <w:r w:rsidRPr="00B024FD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 xml:space="preserve"> Performance-Based Merit Program for Management &amp; Professional, Non-Union Technicians, Executive Administrative Staff &amp; Farm Workers</w:t>
      </w:r>
    </w:p>
    <w:p w:rsidR="00902AAE" w:rsidRPr="00B024FD" w:rsidRDefault="00902AAE" w:rsidP="00902AAE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  <w:sz w:val="22"/>
          <w:szCs w:val="22"/>
        </w:rPr>
      </w:pPr>
    </w:p>
    <w:p w:rsidR="00902AAE" w:rsidRPr="00B024FD" w:rsidRDefault="00902AAE" w:rsidP="00902AAE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  <w:sz w:val="22"/>
          <w:szCs w:val="22"/>
        </w:rPr>
      </w:pPr>
      <w:r w:rsidRPr="00B024FD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>IMPLEMENTATION PROCESS</w:t>
      </w:r>
    </w:p>
    <w:p w:rsidR="00902AAE" w:rsidRPr="00B024FD" w:rsidRDefault="00902AAE" w:rsidP="00902AAE">
      <w:pPr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B024FD">
        <w:rPr>
          <w:rFonts w:asciiTheme="minorHAnsi" w:eastAsia="Times New Roman" w:hAnsiTheme="minorHAnsi" w:cs="Arial"/>
          <w:b/>
          <w:sz w:val="22"/>
          <w:szCs w:val="22"/>
        </w:rPr>
        <w:t>Step 1:  HR Provides Spreadsheet to Department Administrators</w:t>
      </w:r>
      <w:r w:rsidRPr="00B024FD">
        <w:rPr>
          <w:rFonts w:asciiTheme="minorHAnsi" w:eastAsia="Times New Roman" w:hAnsiTheme="minorHAnsi" w:cs="Arial"/>
          <w:b/>
          <w:sz w:val="22"/>
          <w:szCs w:val="22"/>
        </w:rPr>
        <w:tab/>
      </w:r>
    </w:p>
    <w:p w:rsidR="00902AAE" w:rsidRPr="00B024FD" w:rsidRDefault="00902AAE" w:rsidP="00902AAE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HR sends a spreadsheet through UBC Workspace, with the list of employees who are eligible for the 2018 Performance-based merit pay program (see Eligibility Criteria in the memo to Deans, Directors, Department Heads and Administrators).  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B024FD">
        <w:rPr>
          <w:rFonts w:asciiTheme="minorHAnsi" w:eastAsia="Times New Roman" w:hAnsiTheme="minorHAnsi" w:cs="Arial"/>
          <w:b/>
          <w:sz w:val="22"/>
          <w:szCs w:val="22"/>
        </w:rPr>
        <w:t>Step 2:  Department Administrators Complete Performance Evaluations.</w:t>
      </w:r>
      <w:r w:rsidRPr="00B024FD">
        <w:rPr>
          <w:rFonts w:asciiTheme="minorHAnsi" w:eastAsia="Times New Roman" w:hAnsiTheme="minorHAnsi" w:cs="Arial"/>
          <w:b/>
          <w:sz w:val="22"/>
          <w:szCs w:val="22"/>
        </w:rPr>
        <w:tab/>
      </w:r>
    </w:p>
    <w:p w:rsidR="00902AAE" w:rsidRPr="00B024FD" w:rsidRDefault="00902AAE" w:rsidP="00902AAE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Complete the performance evaluations for your staff.  </w:t>
      </w:r>
    </w:p>
    <w:p w:rsidR="00902AAE" w:rsidRPr="00B024FD" w:rsidRDefault="00902AAE" w:rsidP="00902AAE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The Merit process is a requirement and not a matter of optional participation.</w:t>
      </w:r>
    </w:p>
    <w:p w:rsidR="00902AAE" w:rsidRPr="00B024FD" w:rsidRDefault="00902AAE" w:rsidP="00902AAE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If your employees have joint appointments with another department, it is important to have consultation across departments to ensure there is a common understanding of performance criteria and a consistent framework </w:t>
      </w:r>
      <w:proofErr w:type="gramStart"/>
      <w:r w:rsidRPr="00B024FD">
        <w:rPr>
          <w:rFonts w:asciiTheme="minorHAnsi" w:eastAsia="Times New Roman" w:hAnsiTheme="minorHAnsi" w:cs="Arial"/>
          <w:sz w:val="22"/>
          <w:szCs w:val="22"/>
        </w:rPr>
        <w:t>is used</w:t>
      </w:r>
      <w:proofErr w:type="gramEnd"/>
      <w:r w:rsidRPr="00B024FD">
        <w:rPr>
          <w:rFonts w:asciiTheme="minorHAnsi" w:eastAsia="Times New Roman" w:hAnsiTheme="minorHAnsi" w:cs="Arial"/>
          <w:sz w:val="22"/>
          <w:szCs w:val="22"/>
        </w:rPr>
        <w:t xml:space="preserve"> to evaluate performance.</w:t>
      </w:r>
    </w:p>
    <w:p w:rsidR="00902AAE" w:rsidRPr="00B024FD" w:rsidRDefault="00902AAE" w:rsidP="00902AAE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It is important that managers communicate with staff who are eligible for merit increase the </w:t>
      </w:r>
      <w:proofErr w:type="gramStart"/>
      <w:r w:rsidRPr="00B024FD">
        <w:rPr>
          <w:rFonts w:asciiTheme="minorHAnsi" w:eastAsia="Times New Roman" w:hAnsiTheme="minorHAnsi" w:cs="Arial"/>
          <w:sz w:val="22"/>
          <w:szCs w:val="22"/>
        </w:rPr>
        <w:t>%</w:t>
      </w:r>
      <w:proofErr w:type="gramEnd"/>
      <w:r w:rsidRPr="00B024FD">
        <w:rPr>
          <w:rFonts w:asciiTheme="minorHAnsi" w:eastAsia="Times New Roman" w:hAnsiTheme="minorHAnsi" w:cs="Arial"/>
          <w:sz w:val="22"/>
          <w:szCs w:val="22"/>
        </w:rPr>
        <w:t xml:space="preserve"> merit they will receive.</w:t>
      </w:r>
    </w:p>
    <w:p w:rsidR="00902AAE" w:rsidRPr="00B024FD" w:rsidRDefault="00902AAE" w:rsidP="00902AAE">
      <w:pPr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To avoid any misunderstandings, please do not share with your employees the </w:t>
      </w:r>
      <w:proofErr w:type="gramStart"/>
      <w:r w:rsidRPr="00B024FD">
        <w:rPr>
          <w:rFonts w:asciiTheme="minorHAnsi" w:eastAsia="Times New Roman" w:hAnsiTheme="minorHAnsi" w:cs="Arial"/>
          <w:sz w:val="22"/>
          <w:szCs w:val="22"/>
        </w:rPr>
        <w:t>%</w:t>
      </w:r>
      <w:proofErr w:type="gramEnd"/>
      <w:r w:rsidRPr="00B024FD">
        <w:rPr>
          <w:rFonts w:asciiTheme="minorHAnsi" w:eastAsia="Times New Roman" w:hAnsiTheme="minorHAnsi" w:cs="Arial"/>
          <w:sz w:val="22"/>
          <w:szCs w:val="22"/>
        </w:rPr>
        <w:t xml:space="preserve"> merit increase they will receive until you have reviewed your department’s overall merit increase.  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B024FD">
        <w:rPr>
          <w:rFonts w:asciiTheme="minorHAnsi" w:eastAsia="Times New Roman" w:hAnsiTheme="minorHAnsi" w:cs="Arial"/>
          <w:b/>
          <w:sz w:val="22"/>
          <w:szCs w:val="22"/>
        </w:rPr>
        <w:t>Step 3:</w:t>
      </w:r>
      <w:r w:rsidRPr="00B024FD">
        <w:rPr>
          <w:rFonts w:asciiTheme="minorHAnsi" w:eastAsia="Times New Roman" w:hAnsiTheme="minorHAnsi" w:cs="Arial"/>
          <w:b/>
          <w:sz w:val="22"/>
          <w:szCs w:val="22"/>
        </w:rPr>
        <w:tab/>
        <w:t>Department Administrators Complete Spreadsheet.</w:t>
      </w:r>
    </w:p>
    <w:p w:rsidR="00902AAE" w:rsidRPr="00B024FD" w:rsidRDefault="00902AAE" w:rsidP="00902AAE">
      <w:pPr>
        <w:numPr>
          <w:ilvl w:val="0"/>
          <w:numId w:val="2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Fill in the spreadsheet with the employee’s performance rating, the Merit pay information (both percentage and dollars) and the effective date of the changes. </w:t>
      </w:r>
    </w:p>
    <w:p w:rsidR="00902AAE" w:rsidRPr="00B024FD" w:rsidRDefault="00902AAE" w:rsidP="00902AAE">
      <w:pPr>
        <w:numPr>
          <w:ilvl w:val="0"/>
          <w:numId w:val="2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If you are planning to use another method (not salary increases) to reward your staff, this information needs to be recorded in the Comments column in the spreadsheet.</w:t>
      </w:r>
    </w:p>
    <w:p w:rsidR="00902AAE" w:rsidRPr="00B024FD" w:rsidRDefault="00902AAE" w:rsidP="00902AAE">
      <w:pPr>
        <w:numPr>
          <w:ilvl w:val="0"/>
          <w:numId w:val="2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If your department has used July 1 as the implementation date in previous years, please continue to do so. </w:t>
      </w:r>
    </w:p>
    <w:p w:rsidR="00902AAE" w:rsidRPr="00B024FD" w:rsidRDefault="00902AAE" w:rsidP="00902AAE">
      <w:pPr>
        <w:numPr>
          <w:ilvl w:val="0"/>
          <w:numId w:val="2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If you have used the anniversary date of the employee or departmental business year, please continue to do so.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B024FD">
        <w:rPr>
          <w:rFonts w:asciiTheme="minorHAnsi" w:eastAsia="Times New Roman" w:hAnsiTheme="minorHAnsi" w:cs="Arial"/>
          <w:b/>
          <w:sz w:val="22"/>
          <w:szCs w:val="22"/>
        </w:rPr>
        <w:t>Step 4:  Forward Completed Spreadsheet to HR and Staff Appointment Forms to Payroll.</w:t>
      </w:r>
    </w:p>
    <w:p w:rsidR="00902AAE" w:rsidRPr="00B024FD" w:rsidRDefault="00902AAE" w:rsidP="00902AAE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Return the completed spreadsheet to HR (Attention: Dina Wang, Compensation Associate) before you submit the Staff Appointment Forms/</w:t>
      </w:r>
      <w:proofErr w:type="spellStart"/>
      <w:r w:rsidRPr="00B024FD">
        <w:rPr>
          <w:rFonts w:asciiTheme="minorHAnsi" w:eastAsia="Times New Roman" w:hAnsiTheme="minorHAnsi" w:cs="Arial"/>
          <w:sz w:val="22"/>
          <w:szCs w:val="22"/>
        </w:rPr>
        <w:t>ePAF</w:t>
      </w:r>
      <w:proofErr w:type="spellEnd"/>
      <w:r w:rsidRPr="00B024FD">
        <w:rPr>
          <w:rFonts w:asciiTheme="minorHAnsi" w:eastAsia="Times New Roman" w:hAnsiTheme="minorHAnsi" w:cs="Arial"/>
          <w:sz w:val="22"/>
          <w:szCs w:val="22"/>
        </w:rPr>
        <w:t xml:space="preserve"> to Payroll.  </w:t>
      </w:r>
    </w:p>
    <w:p w:rsidR="00902AAE" w:rsidRPr="00B024FD" w:rsidRDefault="00902AAE" w:rsidP="00902AAE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Since the plan is to reward staff for meritorious performance, and not to give across-the-board increases, it is to </w:t>
      </w:r>
      <w:proofErr w:type="gramStart"/>
      <w:r w:rsidRPr="00B024FD">
        <w:rPr>
          <w:rFonts w:asciiTheme="minorHAnsi" w:eastAsia="Times New Roman" w:hAnsiTheme="minorHAnsi" w:cs="Arial"/>
          <w:sz w:val="22"/>
          <w:szCs w:val="22"/>
        </w:rPr>
        <w:t>be expected</w:t>
      </w:r>
      <w:proofErr w:type="gramEnd"/>
      <w:r w:rsidRPr="00B024FD">
        <w:rPr>
          <w:rFonts w:asciiTheme="minorHAnsi" w:eastAsia="Times New Roman" w:hAnsiTheme="minorHAnsi" w:cs="Arial"/>
          <w:sz w:val="22"/>
          <w:szCs w:val="22"/>
        </w:rPr>
        <w:t xml:space="preserve"> that a variety of ratings will be represented on the spreadsheet with a departmental average of approximately 2%.</w:t>
      </w:r>
    </w:p>
    <w:p w:rsidR="00902AAE" w:rsidRPr="00B024FD" w:rsidRDefault="00902AAE" w:rsidP="00902AAE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Forward </w:t>
      </w:r>
      <w:proofErr w:type="spellStart"/>
      <w:r w:rsidRPr="00B024FD">
        <w:rPr>
          <w:rFonts w:asciiTheme="minorHAnsi" w:eastAsia="Times New Roman" w:hAnsiTheme="minorHAnsi" w:cs="Arial"/>
          <w:sz w:val="22"/>
          <w:szCs w:val="22"/>
        </w:rPr>
        <w:t>SAFs</w:t>
      </w:r>
      <w:proofErr w:type="spellEnd"/>
      <w:r w:rsidRPr="00B024FD">
        <w:rPr>
          <w:rFonts w:asciiTheme="minorHAnsi" w:eastAsia="Times New Roman" w:hAnsiTheme="minorHAnsi" w:cs="Arial"/>
          <w:sz w:val="22"/>
          <w:szCs w:val="22"/>
        </w:rPr>
        <w:t>/</w:t>
      </w:r>
      <w:proofErr w:type="spellStart"/>
      <w:r w:rsidRPr="00B024FD">
        <w:rPr>
          <w:rFonts w:asciiTheme="minorHAnsi" w:eastAsia="Times New Roman" w:hAnsiTheme="minorHAnsi" w:cs="Arial"/>
          <w:sz w:val="22"/>
          <w:szCs w:val="22"/>
        </w:rPr>
        <w:t>ePAFs</w:t>
      </w:r>
      <w:proofErr w:type="spellEnd"/>
      <w:r w:rsidRPr="00B024FD">
        <w:rPr>
          <w:rFonts w:asciiTheme="minorHAnsi" w:eastAsia="Times New Roman" w:hAnsiTheme="minorHAnsi" w:cs="Arial"/>
          <w:sz w:val="22"/>
          <w:szCs w:val="22"/>
        </w:rPr>
        <w:t xml:space="preserve"> to your Payroll Service Representative </w:t>
      </w:r>
      <w:r w:rsidRPr="00B024FD">
        <w:rPr>
          <w:rFonts w:asciiTheme="minorHAnsi" w:eastAsia="Times New Roman" w:hAnsiTheme="minorHAnsi" w:cs="Arial"/>
          <w:b/>
          <w:sz w:val="22"/>
          <w:szCs w:val="22"/>
        </w:rPr>
        <w:t>by October 15, 2018</w:t>
      </w:r>
      <w:r w:rsidRPr="00B024FD">
        <w:rPr>
          <w:rFonts w:asciiTheme="minorHAnsi" w:eastAsia="Times New Roman" w:hAnsiTheme="minorHAnsi" w:cs="Arial"/>
          <w:sz w:val="22"/>
          <w:szCs w:val="22"/>
        </w:rPr>
        <w:t xml:space="preserve"> to implement pay changes.</w:t>
      </w:r>
    </w:p>
    <w:p w:rsidR="00902AAE" w:rsidRPr="00B024FD" w:rsidRDefault="00902AAE" w:rsidP="00902AAE">
      <w:pPr>
        <w:numPr>
          <w:ilvl w:val="0"/>
          <w:numId w:val="3"/>
        </w:num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 xml:space="preserve">Use the Staff Honoraria Form located at </w:t>
      </w:r>
      <w:hyperlink r:id="rId8" w:history="1">
        <w:r w:rsidRPr="00B024FD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</w:rPr>
          <w:t>http://www.hr.ubc.ca/compensation/salary-administration/honoraria/</w:t>
        </w:r>
      </w:hyperlink>
      <w:r w:rsidRPr="00B024FD">
        <w:rPr>
          <w:rFonts w:asciiTheme="minorHAnsi" w:eastAsia="Times New Roman" w:hAnsiTheme="minorHAnsi" w:cs="Arial"/>
          <w:sz w:val="22"/>
          <w:szCs w:val="22"/>
        </w:rPr>
        <w:t xml:space="preserve"> for one-time bonuses.  The signature of the Vice President or Deputy Vice Chancellor is required.</w:t>
      </w:r>
    </w:p>
    <w:p w:rsidR="00B024FD" w:rsidRPr="00B024FD" w:rsidRDefault="00902AAE" w:rsidP="00564CF8">
      <w:pPr>
        <w:numPr>
          <w:ilvl w:val="0"/>
          <w:numId w:val="3"/>
        </w:numPr>
        <w:rPr>
          <w:rFonts w:asciiTheme="minorHAnsi" w:eastAsia="Times New Roman" w:hAnsiTheme="minorHAnsi" w:cs="Arial"/>
          <w:b/>
          <w:sz w:val="22"/>
          <w:szCs w:val="22"/>
          <w:u w:val="single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You may elect to reward your staff in ways other than pay increase such as additional time off or career development opportunities such as courses, coaching or conferences.  </w:t>
      </w:r>
    </w:p>
    <w:p w:rsidR="00B024FD" w:rsidRPr="00B024FD" w:rsidRDefault="00B024FD" w:rsidP="00B024FD">
      <w:pPr>
        <w:ind w:left="360"/>
        <w:rPr>
          <w:rFonts w:asciiTheme="minorHAnsi" w:eastAsia="Times New Roman" w:hAnsiTheme="minorHAnsi" w:cs="Arial"/>
          <w:b/>
          <w:sz w:val="22"/>
          <w:szCs w:val="22"/>
          <w:u w:val="single"/>
        </w:rPr>
      </w:pPr>
    </w:p>
    <w:p w:rsidR="00B024FD" w:rsidRDefault="00B024FD" w:rsidP="00B024FD"/>
    <w:p w:rsidR="00902AAE" w:rsidRPr="00B024FD" w:rsidRDefault="00902AAE" w:rsidP="00B024FD">
      <w:pPr>
        <w:rPr>
          <w:b/>
        </w:rPr>
      </w:pPr>
      <w:r w:rsidRPr="00B024FD">
        <w:rPr>
          <w:b/>
        </w:rPr>
        <w:t>Rating scale and pay ranges: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pBdr>
          <w:bottom w:val="single" w:sz="4" w:space="1" w:color="auto"/>
        </w:pBdr>
        <w:rPr>
          <w:rFonts w:asciiTheme="minorHAnsi" w:eastAsia="Times New Roman" w:hAnsiTheme="minorHAnsi" w:cs="Arial"/>
          <w:i/>
          <w:sz w:val="22"/>
          <w:szCs w:val="22"/>
        </w:rPr>
      </w:pPr>
      <w:r w:rsidRPr="00B024FD">
        <w:rPr>
          <w:rFonts w:asciiTheme="minorHAnsi" w:eastAsia="Times New Roman" w:hAnsiTheme="minorHAnsi" w:cs="Arial"/>
          <w:i/>
          <w:sz w:val="22"/>
          <w:szCs w:val="22"/>
        </w:rPr>
        <w:t>Rating scale</w:t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i/>
          <w:sz w:val="22"/>
          <w:szCs w:val="22"/>
        </w:rPr>
        <w:tab/>
        <w:t>Pay ranges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Meets job requirements</w:t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  <w:t>0%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Demonstrates above average performance</w:t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  <w:t>up to 1%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Demonstrates excellent performance</w:t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  <w:t>over 1% and up to 2%</w:t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  <w:r w:rsidRPr="00B024FD">
        <w:rPr>
          <w:rFonts w:asciiTheme="minorHAnsi" w:eastAsia="Times New Roman" w:hAnsiTheme="minorHAnsi" w:cs="Arial"/>
          <w:sz w:val="22"/>
          <w:szCs w:val="22"/>
        </w:rPr>
        <w:t>Demonstrates extraordinary performance</w:t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  <w:t>over 2% and up to 3%</w:t>
      </w:r>
      <w:r w:rsidRPr="00B024FD">
        <w:rPr>
          <w:rFonts w:asciiTheme="minorHAnsi" w:eastAsia="Times New Roman" w:hAnsiTheme="minorHAnsi" w:cs="Arial"/>
          <w:sz w:val="22"/>
          <w:szCs w:val="22"/>
        </w:rPr>
        <w:tab/>
      </w: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B024FD" w:rsidRDefault="00B024FD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B024FD" w:rsidRPr="00B024FD" w:rsidRDefault="00B024FD" w:rsidP="00902AAE">
      <w:pPr>
        <w:rPr>
          <w:rFonts w:asciiTheme="minorHAnsi" w:eastAsia="Times New Roman" w:hAnsiTheme="minorHAnsi" w:cs="Arial"/>
          <w:sz w:val="22"/>
          <w:szCs w:val="22"/>
        </w:rPr>
      </w:pPr>
      <w:bookmarkStart w:id="0" w:name="_GoBack"/>
      <w:bookmarkEnd w:id="0"/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902AAE" w:rsidRPr="00B024FD" w:rsidRDefault="00902AAE" w:rsidP="00902AAE">
      <w:pPr>
        <w:rPr>
          <w:rFonts w:asciiTheme="minorHAnsi" w:eastAsia="Times New Roman" w:hAnsiTheme="minorHAnsi" w:cs="Arial"/>
          <w:sz w:val="22"/>
          <w:szCs w:val="22"/>
        </w:rPr>
      </w:pPr>
    </w:p>
    <w:p w:rsidR="00A774D0" w:rsidRPr="00B024FD" w:rsidRDefault="00B024FD" w:rsidP="00902AAE">
      <w:pPr>
        <w:rPr>
          <w:rFonts w:asciiTheme="minorHAnsi" w:eastAsia="Times New Roman" w:hAnsiTheme="minorHAnsi" w:cs="Arial"/>
          <w:sz w:val="18"/>
          <w:szCs w:val="18"/>
        </w:rPr>
      </w:pPr>
      <w:r w:rsidRPr="00B024FD">
        <w:rPr>
          <w:rFonts w:asciiTheme="minorHAnsi" w:eastAsia="Times New Roman" w:hAnsiTheme="minorHAnsi" w:cs="Arial"/>
          <w:sz w:val="18"/>
          <w:szCs w:val="18"/>
        </w:rPr>
        <w:t>T</w:t>
      </w:r>
      <w:r w:rsidR="00902AAE" w:rsidRPr="00B024FD">
        <w:rPr>
          <w:rFonts w:asciiTheme="minorHAnsi" w:eastAsia="Times New Roman" w:hAnsiTheme="minorHAnsi" w:cs="Arial"/>
          <w:sz w:val="18"/>
          <w:szCs w:val="18"/>
        </w:rPr>
        <w:t xml:space="preserve">he program </w:t>
      </w:r>
      <w:proofErr w:type="gramStart"/>
      <w:r w:rsidR="00902AAE" w:rsidRPr="00B024FD">
        <w:rPr>
          <w:rFonts w:asciiTheme="minorHAnsi" w:eastAsia="Times New Roman" w:hAnsiTheme="minorHAnsi" w:cs="Arial"/>
          <w:sz w:val="18"/>
          <w:szCs w:val="18"/>
        </w:rPr>
        <w:t>is designed</w:t>
      </w:r>
      <w:proofErr w:type="gramEnd"/>
      <w:r w:rsidR="00902AAE" w:rsidRPr="00B024FD">
        <w:rPr>
          <w:rFonts w:asciiTheme="minorHAnsi" w:eastAsia="Times New Roman" w:hAnsiTheme="minorHAnsi" w:cs="Arial"/>
          <w:sz w:val="18"/>
          <w:szCs w:val="18"/>
        </w:rPr>
        <w:t xml:space="preserve"> to reward meritorious performance; staff who meet their job requirements are therefore not eligible for an increase. It </w:t>
      </w:r>
      <w:proofErr w:type="gramStart"/>
      <w:r w:rsidR="00902AAE" w:rsidRPr="00B024FD">
        <w:rPr>
          <w:rFonts w:asciiTheme="minorHAnsi" w:eastAsia="Times New Roman" w:hAnsiTheme="minorHAnsi" w:cs="Arial"/>
          <w:sz w:val="18"/>
          <w:szCs w:val="18"/>
        </w:rPr>
        <w:t>is expected</w:t>
      </w:r>
      <w:proofErr w:type="gramEnd"/>
      <w:r w:rsidR="00902AAE" w:rsidRPr="00B024FD">
        <w:rPr>
          <w:rFonts w:asciiTheme="minorHAnsi" w:eastAsia="Times New Roman" w:hAnsiTheme="minorHAnsi" w:cs="Arial"/>
          <w:sz w:val="18"/>
          <w:szCs w:val="18"/>
        </w:rPr>
        <w:t xml:space="preserve"> that a normal distribution across the various performance levels would occur, and that staff who have demonstrated extraordinary performance would typically receive a higher percentage increase than those who demonstrate above average performance.</w:t>
      </w:r>
    </w:p>
    <w:sectPr w:rsidR="00A774D0" w:rsidRPr="00B024FD" w:rsidSect="00A774D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D0" w:rsidRDefault="00A774D0" w:rsidP="00A774D0">
      <w:r>
        <w:separator/>
      </w:r>
    </w:p>
  </w:endnote>
  <w:endnote w:type="continuationSeparator" w:id="0">
    <w:p w:rsidR="00A774D0" w:rsidRDefault="00A774D0" w:rsidP="00A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FD" w:rsidRPr="00A91748" w:rsidRDefault="00B024FD" w:rsidP="00B024FD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>
      <w:tab/>
    </w:r>
    <w:r w:rsidRPr="00A91748">
      <w:rPr>
        <w:rFonts w:ascii="Arial" w:eastAsia="Times New Roman" w:hAnsi="Arial" w:cs="Arial"/>
        <w:color w:val="999999"/>
        <w:sz w:val="16"/>
      </w:rPr>
      <w:t xml:space="preserve">Prepared by HR – Total Compensation </w:t>
    </w:r>
    <w:proofErr w:type="gramStart"/>
    <w:r w:rsidRPr="00A91748">
      <w:rPr>
        <w:rFonts w:ascii="Arial" w:eastAsia="Times New Roman" w:hAnsi="Arial" w:cs="Arial"/>
        <w:color w:val="999999"/>
        <w:sz w:val="16"/>
      </w:rPr>
      <w:t xml:space="preserve">|  </w:t>
    </w:r>
    <w:r>
      <w:rPr>
        <w:rFonts w:ascii="Arial" w:eastAsia="Times New Roman" w:hAnsi="Arial" w:cs="Arial"/>
        <w:color w:val="999999"/>
        <w:sz w:val="16"/>
      </w:rPr>
      <w:t>August</w:t>
    </w:r>
    <w:proofErr w:type="gramEnd"/>
    <w:r>
      <w:rPr>
        <w:rFonts w:ascii="Arial" w:eastAsia="Times New Roman" w:hAnsi="Arial" w:cs="Arial"/>
        <w:color w:val="999999"/>
        <w:sz w:val="16"/>
      </w:rPr>
      <w:t xml:space="preserve"> 2018</w:t>
    </w:r>
  </w:p>
  <w:p w:rsidR="00A774D0" w:rsidRPr="00B024FD" w:rsidRDefault="00B024FD" w:rsidP="00B024FD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FD" w:rsidRPr="00A91748" w:rsidRDefault="00B024FD" w:rsidP="00B024FD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>
      <w:tab/>
    </w:r>
    <w:r>
      <w:tab/>
    </w:r>
    <w:r w:rsidRPr="00A91748">
      <w:rPr>
        <w:rFonts w:ascii="Arial" w:eastAsia="Times New Roman" w:hAnsi="Arial" w:cs="Arial"/>
        <w:color w:val="999999"/>
        <w:sz w:val="16"/>
      </w:rPr>
      <w:t xml:space="preserve">Prepared by HR – Total Compensation </w:t>
    </w:r>
    <w:proofErr w:type="gramStart"/>
    <w:r w:rsidRPr="00A91748">
      <w:rPr>
        <w:rFonts w:ascii="Arial" w:eastAsia="Times New Roman" w:hAnsi="Arial" w:cs="Arial"/>
        <w:color w:val="999999"/>
        <w:sz w:val="16"/>
      </w:rPr>
      <w:t xml:space="preserve">|  </w:t>
    </w:r>
    <w:r>
      <w:rPr>
        <w:rFonts w:ascii="Arial" w:eastAsia="Times New Roman" w:hAnsi="Arial" w:cs="Arial"/>
        <w:color w:val="999999"/>
        <w:sz w:val="16"/>
      </w:rPr>
      <w:t>August</w:t>
    </w:r>
    <w:proofErr w:type="gramEnd"/>
    <w:r>
      <w:rPr>
        <w:rFonts w:ascii="Arial" w:eastAsia="Times New Roman" w:hAnsi="Arial" w:cs="Arial"/>
        <w:color w:val="999999"/>
        <w:sz w:val="16"/>
      </w:rPr>
      <w:t xml:space="preserve"> 2018</w:t>
    </w:r>
  </w:p>
  <w:p w:rsidR="00A774D0" w:rsidRPr="00B024FD" w:rsidRDefault="00B024FD" w:rsidP="00B024FD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1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D0" w:rsidRDefault="00A774D0" w:rsidP="00A774D0">
      <w:r>
        <w:separator/>
      </w:r>
    </w:p>
  </w:footnote>
  <w:footnote w:type="continuationSeparator" w:id="0">
    <w:p w:rsidR="00A774D0" w:rsidRDefault="00A774D0" w:rsidP="00A7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0" w:rsidRPr="00E50929" w:rsidRDefault="00902AAE" w:rsidP="00A774D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28575</wp:posOffset>
          </wp:positionV>
          <wp:extent cx="7729220" cy="10001250"/>
          <wp:effectExtent l="0" t="0" r="0" b="0"/>
          <wp:wrapNone/>
          <wp:docPr id="20" name="Picture 20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0" w:rsidRDefault="00902A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3195" cy="10037445"/>
          <wp:effectExtent l="0" t="0" r="0" b="0"/>
          <wp:wrapNone/>
          <wp:docPr id="21" name="Picture 21" descr="03-00720 _Letterhead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3-00720 _Letterhead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003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FE5"/>
    <w:multiLevelType w:val="hybridMultilevel"/>
    <w:tmpl w:val="965A8960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1AB"/>
    <w:multiLevelType w:val="hybridMultilevel"/>
    <w:tmpl w:val="EF982446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25BDA"/>
    <w:multiLevelType w:val="hybridMultilevel"/>
    <w:tmpl w:val="F7E84034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A"/>
    <w:rsid w:val="0080579A"/>
    <w:rsid w:val="00902AAE"/>
    <w:rsid w:val="00A774D0"/>
    <w:rsid w:val="00B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1AEDC5C"/>
  <w15:chartTrackingRefBased/>
  <w15:docId w15:val="{73AB3267-8AC8-40BB-8941-E30CD99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3176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compensation/salary-administration/honorar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5E50-43FD-47C5-A101-92E4276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3563</CharactersWithSpaces>
  <SharedDoc>false</SharedDoc>
  <HLinks>
    <vt:vector size="12" baseType="variant">
      <vt:variant>
        <vt:i4>6422598</vt:i4>
      </vt:variant>
      <vt:variant>
        <vt:i4>-1</vt:i4>
      </vt:variant>
      <vt:variant>
        <vt:i4>2068</vt:i4>
      </vt:variant>
      <vt:variant>
        <vt:i4>1</vt:i4>
      </vt:variant>
      <vt:variant>
        <vt:lpwstr>Letterhead2</vt:lpwstr>
      </vt:variant>
      <vt:variant>
        <vt:lpwstr/>
      </vt:variant>
      <vt:variant>
        <vt:i4>7405601</vt:i4>
      </vt:variant>
      <vt:variant>
        <vt:i4>-1</vt:i4>
      </vt:variant>
      <vt:variant>
        <vt:i4>2069</vt:i4>
      </vt:variant>
      <vt:variant>
        <vt:i4>1</vt:i4>
      </vt:variant>
      <vt:variant>
        <vt:lpwstr>03-00720 _Letterhead_Page_1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UBC Graphic</dc:creator>
  <cp:keywords/>
  <dc:description/>
  <cp:lastModifiedBy>Breeonne Baxter</cp:lastModifiedBy>
  <cp:revision>3</cp:revision>
  <cp:lastPrinted>2016-12-15T18:00:00Z</cp:lastPrinted>
  <dcterms:created xsi:type="dcterms:W3CDTF">2018-07-23T21:47:00Z</dcterms:created>
  <dcterms:modified xsi:type="dcterms:W3CDTF">2018-07-23T22:01:00Z</dcterms:modified>
</cp:coreProperties>
</file>